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Style w:val="FontStyle11"/>
          <w:sz w:val="27"/>
          <w:szCs w:val="27"/>
        </w:rPr>
        <w:t>Квалификационные требования к образованию и стажу (опыту) работы по специальности по должности главного специалиста</w:t>
      </w:r>
      <w:r>
        <w:rPr>
          <w:rFonts w:ascii="Times New Roman" w:hAnsi="Times New Roman"/>
          <w:b/>
          <w:sz w:val="27"/>
          <w:szCs w:val="27"/>
        </w:rPr>
        <w:t xml:space="preserve"> бюджетного отдела  комитета  финансов и бюджетной политики администрации Алексеевского городского округа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tbl>
      <w:tblPr>
        <w:tblW w:w="9601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2547"/>
        <w:gridCol w:w="4107"/>
        <w:gridCol w:w="2947"/>
      </w:tblGrid>
      <w:tr>
        <w:trPr/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Style w:val="FontStyle12"/>
                <w:b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>
            <w:pPr>
              <w:pStyle w:val="NoSpacing"/>
              <w:jc w:val="center"/>
              <w:rPr>
                <w:rStyle w:val="FontStyle12"/>
                <w:b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вакантной должности</w:t>
            </w: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Style w:val="FontStyle12"/>
                <w:b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Style w:val="FontStyle12"/>
                <w:b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>
        <w:trPr/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 бюджетного отдела комитета  финансов и бюджетной политики администрации Алексеевского городского округа</w:t>
            </w: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Style w:val="FontStyle12"/>
                <w:sz w:val="27"/>
                <w:szCs w:val="27"/>
              </w:rPr>
              <w:t xml:space="preserve">Наличие </w:t>
            </w:r>
            <w:r>
              <w:rPr>
                <w:rFonts w:ascii="Times New Roman" w:hAnsi="Times New Roman"/>
                <w:sz w:val="27"/>
                <w:szCs w:val="27"/>
              </w:rPr>
              <w:t>высшего профессионального образования не ниже по специальности, направлению подготовки «Государственное и муниципальное управление», «Менеджмент», «Финансы и кредит», «Экономика», «Юриспруденция», «Банковское дело», «Налоги и налогообложение», «Бухгалтерский учет, анализ и аудит»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Spacing"/>
              <w:jc w:val="center"/>
              <w:rPr>
                <w:rStyle w:val="FontStyle1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Spacing"/>
        <w:jc w:val="center"/>
        <w:rPr>
          <w:rStyle w:val="FontStyle11"/>
          <w:b w:val="false"/>
          <w:b w:val="false"/>
          <w:sz w:val="27"/>
          <w:szCs w:val="27"/>
        </w:rPr>
      </w:pPr>
      <w:r>
        <w:rPr>
          <w:rStyle w:val="FontStyle11"/>
          <w:sz w:val="27"/>
          <w:szCs w:val="27"/>
        </w:rPr>
        <w:t>Квалификационные требования к профессиональным знаниям и навыкам по должности главного специалиста</w:t>
      </w:r>
      <w:r>
        <w:rPr>
          <w:rFonts w:ascii="Times New Roman" w:hAnsi="Times New Roman"/>
          <w:b/>
          <w:sz w:val="27"/>
          <w:szCs w:val="27"/>
        </w:rPr>
        <w:t xml:space="preserve">  бюджетного отдела комитета финансов и бюджетной политики  администрации Алексеевского городского округа</w:t>
      </w:r>
    </w:p>
    <w:p>
      <w:pPr>
        <w:pStyle w:val="Normal"/>
        <w:spacing w:lineRule="auto" w:line="240" w:before="0" w:after="0"/>
        <w:jc w:val="center"/>
        <w:rPr>
          <w:rStyle w:val="FontStyle11"/>
          <w:sz w:val="27"/>
          <w:szCs w:val="27"/>
        </w:rPr>
      </w:pPr>
      <w:r>
        <w:rPr>
          <w:sz w:val="27"/>
          <w:szCs w:val="27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квалификационные требования к знаниям: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1) знание государственного языка Российской Федерации (русского языка);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2) правовые знания основ: 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-Конституции Российской Федерации;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-Федерального закона от 2 марта 2007 г. № 25-ФЗ «О муниципальной службе в Российской Федерации»;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законодательства о противодействии коррупции;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</w:rPr>
              <w:t>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bookmarkStart w:id="0" w:name="_GoBack"/>
            <w:bookmarkEnd w:id="0"/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квалификационные требования к умениям: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-работать на компьютере, в том числе в сети «Интернет»;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-работать в информационно-правовых системах;</w:t>
            </w:r>
          </w:p>
          <w:p>
            <w:pPr>
              <w:pStyle w:val="ListParagraph"/>
              <w:widowControl/>
              <w:ind w:left="0" w:hang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-руководить подчиненными, эффективно планировать работу и контролировать ее выполнение;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-оперативно принимать и реализовывать управленческие решения;</w:t>
            </w:r>
          </w:p>
          <w:p>
            <w:pPr>
              <w:pStyle w:val="ListParagraph"/>
              <w:widowControl/>
              <w:ind w:left="0" w:hang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-вести деловые переговоры с представителями государственных органов, органов местного самоуправления, организаций;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-соблюдать этику делового общения при взаимодействии с гражданами.</w:t>
            </w:r>
          </w:p>
        </w:tc>
      </w:tr>
      <w:tr>
        <w:trPr>
          <w:trHeight w:val="976" w:hRule="atLeast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1"/>
              <w:widowControl/>
              <w:tabs>
                <w:tab w:val="clear" w:pos="708"/>
                <w:tab w:val="left" w:pos="226" w:leader="none"/>
              </w:tabs>
              <w:spacing w:lineRule="exact" w:line="322"/>
              <w:jc w:val="center"/>
              <w:rPr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>
            <w:pPr>
              <w:pStyle w:val="Style31"/>
              <w:tabs>
                <w:tab w:val="clear" w:pos="708"/>
                <w:tab w:val="left" w:pos="226" w:leader="none"/>
              </w:tabs>
              <w:spacing w:lineRule="exact" w:line="322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>
              <w:rPr>
                <w:b/>
                <w:sz w:val="27"/>
                <w:szCs w:val="27"/>
              </w:rPr>
              <w:t>: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jc w:val="both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а) Федеральные законы 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иные федеральные нормативные правовые акты:</w:t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40" w:before="0" w:after="0"/>
              <w:ind w:left="709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-Бюджетный кодекс Российской Федерации;</w:t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40" w:before="0" w:after="0"/>
              <w:ind w:left="709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-Налоговый кодекс Российской Федерации;</w:t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-Федеральный закон от 6 декабря 2011 г. № 402-ФЗ «О бухгалтерском учете»;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-Федеральный закон от 28 июля 2014 г. № 172-ФЗ «О стратегическом планировании в Российской Федерации»;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-приказ Министерства финансов Российской Федерации от 1 декабря 2010 г. № 157-н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и Инструкции по его применению»;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bookmarkStart w:id="1" w:name="OLE_LINK40"/>
            <w:bookmarkStart w:id="2" w:name="OLE_LINK39"/>
            <w:r>
              <w:rPr>
                <w:szCs w:val="28"/>
              </w:rPr>
              <w:t>-приказ Министерства финансов Российской Федерации от 28декабря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  <w:bookmarkEnd w:id="1"/>
            <w:bookmarkEnd w:id="2"/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bookmarkStart w:id="3" w:name="OLE_LINK43"/>
            <w:bookmarkStart w:id="4" w:name="OLE_LINK42"/>
            <w:bookmarkStart w:id="5" w:name="OLE_LINK41"/>
            <w:r>
              <w:rPr>
                <w:szCs w:val="28"/>
              </w:rPr>
              <w:t xml:space="preserve">-приказ Министерства финансов Российской Федерации от 25 марта 2011 г. № 33н «Об утверждении </w:t>
            </w:r>
            <w:bookmarkEnd w:id="3"/>
            <w:bookmarkEnd w:id="4"/>
            <w:bookmarkEnd w:id="5"/>
            <w:r>
              <w:rPr>
                <w:szCs w:val="28"/>
              </w:rPr>
              <w:t>Инструкции о порядке составления, представления годовой, квартальной отчетности государственных (муниципальных) бюджетных и автономных учреждений»;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bookmarkStart w:id="6" w:name="OLE_LINK46"/>
            <w:bookmarkStart w:id="7" w:name="OLE_LINK45"/>
            <w:bookmarkStart w:id="8" w:name="OLE_LINK44"/>
            <w:r>
              <w:rPr>
                <w:szCs w:val="28"/>
              </w:rPr>
              <w:t>-приказ Министерства финансов Российской Федерации от 01 июля 2013 г. № 65н «Об ут</w:t>
            </w:r>
            <w:bookmarkEnd w:id="6"/>
            <w:bookmarkEnd w:id="7"/>
            <w:bookmarkEnd w:id="8"/>
            <w:r>
              <w:rPr>
                <w:szCs w:val="28"/>
              </w:rPr>
              <w:t>верждении Указаний о порядке применения бюджетной классификации Российской федерации»;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 государственными внебюджетными фондами, государственными (муниципальными) учреждениями.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-Кодекс Российской Федерации об административных правонарушениях;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12 января 1996 г. № 7-ФЗ «О некоммерческих организациях»;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14 ноября 2002 г. № 161-ФЗ «О государственных и муниципальных предприятиях»;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3 ноября 2006 г. № 174-ФЗ «Об автономных учреждениях»;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>
            <w:pPr>
              <w:pStyle w:val="NoSpacing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NoSpacing"/>
              <w:jc w:val="both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  <w:tab w:val="left" w:pos="1985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-Закон </w:t>
            </w:r>
            <w:bookmarkStart w:id="9" w:name="OLE_LINK48"/>
            <w:bookmarkStart w:id="10" w:name="OLE_LINK47"/>
            <w:r>
              <w:rPr>
                <w:rFonts w:ascii="Times New Roman" w:hAnsi="Times New Roman"/>
                <w:sz w:val="28"/>
                <w:szCs w:val="28"/>
              </w:rPr>
              <w:t>Белгородской области от 16 ноября 2007г. № 162 «О бюджетном устройстве и бюджетном процессе в Белгородской области»;</w:t>
            </w:r>
            <w:bookmarkEnd w:id="9"/>
            <w:bookmarkEnd w:id="10"/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  <w:tab w:val="left" w:pos="1985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-Закон Белгородской области от 18 декабря 2017г. № 211 «Об областном бюджете на 2018 год и на плановый период 2019-2020 годов»;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  <w:tab w:val="left" w:pos="1985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ab/>
            </w:r>
            <w:r>
              <w:rPr>
                <w:rFonts w:ascii="Times New Roman" w:hAnsi="Times New Roman"/>
                <w:sz w:val="28"/>
                <w:szCs w:val="28"/>
              </w:rPr>
              <w:t>- Приказ департамента финансов и бюджетной политики Белгородской области от 5 октября 2018г № 43 «Об утверждении доклада о результатах за 2017 год и основных направлениях деятельности департамента финансов и бюджетной политики Белгородской области на 2018 год и плановый период 2019-2020 годов».</w:t>
            </w:r>
          </w:p>
          <w:p>
            <w:pPr>
              <w:pStyle w:val="NoSpacing"/>
              <w:jc w:val="both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в) Муниципальные правовые акты: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>-Решение Совета депутов Алексеевского  городского округа от 23 декабря 2022 года № 4 «Об утверждении Положения о бюджетном устройстве и бюджетном процессе в Алексеевском городском округе»;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>-Решение Совета депутатов Алексеевского городского округа от 23 декабря 2022 года № 2  « О бюджете Алексеевского  городского округа на 2023 год и плановый период 2024-2025 годов»;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-Постановление  администрации  Алексеевского  городского округа 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465 от 15 мая 2023г. «Об утверждении бюджетного прогноза Алексеевского  городского округа на долгосрочный период до 2036 года».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г) основные положения нормативной правовой базы в сфере государственной политики по развитию конкуренции;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1418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>-основные положения антимонопольного законодательства.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>
            <w:pPr>
              <w:pStyle w:val="NoSpacing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szCs w:val="28"/>
              </w:rPr>
              <w:tab/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31"/>
              <w:widowControl/>
              <w:tabs>
                <w:tab w:val="clear" w:pos="708"/>
                <w:tab w:val="left" w:pos="226" w:leader="none"/>
              </w:tabs>
              <w:spacing w:lineRule="exact" w:line="322"/>
              <w:jc w:val="center"/>
              <w:rPr>
                <w:b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иным знаниям: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бюджета и его социально-экономическая роль в обществе;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-бюджетная система Российской Федерации;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-бюджетные системы ведущих стран мира;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-бюджетное регулирование и его основные методы;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цели бюджетной политики;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-понятие, объекты и субъекты бюджетного учета;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виды бюджетной отчетности;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состав бюджетной классификации;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состав регистров бюджетного учета;</w:t>
            </w:r>
          </w:p>
          <w:p>
            <w:pPr>
              <w:pStyle w:val="Normal"/>
              <w:spacing w:lineRule="auto" w:line="240" w:before="0" w:after="0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-понятие стратегического планирования;</w:t>
            </w:r>
          </w:p>
          <w:p>
            <w:pPr>
              <w:pStyle w:val="Normal"/>
              <w:spacing w:lineRule="auto" w:line="240" w:before="0" w:after="0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-принципы стратегического планирования в сфере финансов;</w:t>
            </w:r>
          </w:p>
          <w:p>
            <w:pPr>
              <w:pStyle w:val="3"/>
              <w:ind w:firstLine="63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-понятие о среднесрочном финансовом плане.</w:t>
            </w:r>
          </w:p>
          <w:p>
            <w:pPr>
              <w:pStyle w:val="Normal"/>
              <w:spacing w:lineRule="auto" w:line="240" w:before="0" w:after="0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-понятие и виды форм первичных учетных документов и регистров бухгалтерского учета, применяемых органами местного самоуправления, муниципальными учреждениями;</w:t>
            </w:r>
          </w:p>
          <w:p>
            <w:pPr>
              <w:pStyle w:val="3"/>
              <w:ind w:firstLine="708"/>
              <w:jc w:val="both"/>
              <w:rPr>
                <w:szCs w:val="28"/>
              </w:rPr>
            </w:pPr>
            <w:r>
              <w:rPr/>
              <w:t>-понятие дебиторской и кредиторской задолженностей бюджета муниципального района и бюджетов поселений, передавших свои полномочия.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Spacing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</w:t>
            </w:r>
            <w:r>
              <w:rPr>
                <w:rFonts w:ascii="Times New Roman" w:hAnsi="Times New Roman"/>
                <w:sz w:val="27"/>
                <w:szCs w:val="27"/>
              </w:rPr>
              <w:t>Требования к умениям не предъявляются.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1701" w:right="850" w:header="708" w:top="765" w:footer="0" w:bottom="567" w:gutter="0"/>
      <w:pgNumType w:start="2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e211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basedOn w:val="DefaultParagraphFont"/>
    <w:uiPriority w:val="99"/>
    <w:qFormat/>
    <w:rsid w:val="006e6a0c"/>
    <w:rPr>
      <w:rFonts w:ascii="Times New Roman" w:hAnsi="Times New Roman" w:cs="Times New Roman"/>
      <w:b/>
      <w:bCs/>
      <w:sz w:val="26"/>
      <w:szCs w:val="26"/>
    </w:rPr>
  </w:style>
  <w:style w:type="character" w:styleId="FontStyle12" w:customStyle="1">
    <w:name w:val="Font Style12"/>
    <w:basedOn w:val="DefaultParagraphFont"/>
    <w:uiPriority w:val="99"/>
    <w:qFormat/>
    <w:rsid w:val="006e6a0c"/>
    <w:rPr>
      <w:rFonts w:ascii="Times New Roman" w:hAnsi="Times New Roman" w:cs="Times New Roman"/>
      <w:sz w:val="26"/>
      <w:szCs w:val="26"/>
    </w:rPr>
  </w:style>
  <w:style w:type="character" w:styleId="FontStyle14" w:customStyle="1">
    <w:name w:val="Font Style14"/>
    <w:uiPriority w:val="99"/>
    <w:qFormat/>
    <w:rsid w:val="0002269b"/>
    <w:rPr>
      <w:rFonts w:ascii="Times New Roman" w:hAnsi="Times New Roman"/>
      <w:b/>
      <w:sz w:val="26"/>
    </w:rPr>
  </w:style>
  <w:style w:type="character" w:styleId="Style14" w:customStyle="1">
    <w:name w:val="Верхний колонтитул Знак"/>
    <w:basedOn w:val="DefaultParagraphFont"/>
    <w:link w:val="a5"/>
    <w:uiPriority w:val="99"/>
    <w:qFormat/>
    <w:locked/>
    <w:rsid w:val="00844da5"/>
    <w:rPr>
      <w:rFonts w:cs="Times New Roman"/>
    </w:rPr>
  </w:style>
  <w:style w:type="character" w:styleId="Style15" w:customStyle="1">
    <w:name w:val="Нижний колонтитул Знак"/>
    <w:basedOn w:val="DefaultParagraphFont"/>
    <w:link w:val="a7"/>
    <w:uiPriority w:val="99"/>
    <w:qFormat/>
    <w:locked/>
    <w:rsid w:val="00844da5"/>
    <w:rPr>
      <w:rFonts w:cs="Times New Roman"/>
    </w:rPr>
  </w:style>
  <w:style w:type="character" w:styleId="2" w:customStyle="1">
    <w:name w:val="Основной текст2"/>
    <w:basedOn w:val="DefaultParagraphFont"/>
    <w:uiPriority w:val="99"/>
    <w:qFormat/>
    <w:rsid w:val="009f476b"/>
    <w:rPr>
      <w:rFonts w:ascii="Times New Roman" w:hAnsi="Times New Roman" w:cs="Times New Roman"/>
      <w:color w:val="000000"/>
      <w:spacing w:val="0"/>
      <w:w w:val="100"/>
      <w:sz w:val="27"/>
      <w:szCs w:val="27"/>
      <w:shd w:fill="FFFFFF" w:val="clear"/>
      <w:lang w:val="ru-RU"/>
    </w:rPr>
  </w:style>
  <w:style w:type="character" w:styleId="Style16" w:customStyle="1">
    <w:name w:val="Абзац списка Знак"/>
    <w:link w:val="a9"/>
    <w:uiPriority w:val="99"/>
    <w:qFormat/>
    <w:locked/>
    <w:rsid w:val="007f18be"/>
    <w:rPr>
      <w:rFonts w:ascii="Times New Roman" w:hAnsi="Times New Roman"/>
      <w:sz w:val="20"/>
      <w:lang w:eastAsia="ru-RU"/>
    </w:rPr>
  </w:style>
  <w:style w:type="character" w:styleId="Style17" w:customStyle="1">
    <w:name w:val="Без интервала Знак"/>
    <w:basedOn w:val="DefaultParagraphFont"/>
    <w:link w:val="3"/>
    <w:uiPriority w:val="99"/>
    <w:qFormat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character" w:styleId="EndnoteTextChar" w:customStyle="1">
    <w:name w:val="Endnote Text Char"/>
    <w:basedOn w:val="DefaultParagraphFont"/>
    <w:uiPriority w:val="99"/>
    <w:semiHidden/>
    <w:qFormat/>
    <w:locked/>
    <w:rsid w:val="008d52ed"/>
    <w:rPr>
      <w:rFonts w:cs="Times New Roman"/>
      <w:sz w:val="20"/>
      <w:szCs w:val="20"/>
      <w:lang w:eastAsia="en-US"/>
    </w:rPr>
  </w:style>
  <w:style w:type="character" w:styleId="Style18" w:customStyle="1">
    <w:name w:val="Текст концевой сноски Знак"/>
    <w:link w:val="ac"/>
    <w:uiPriority w:val="99"/>
    <w:qFormat/>
    <w:locked/>
    <w:rsid w:val="008b0093"/>
    <w:rPr>
      <w:rFonts w:ascii="Calibri" w:hAnsi="Calibri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fc7480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Style110" w:customStyle="1">
    <w:name w:val="Style1"/>
    <w:basedOn w:val="Normal"/>
    <w:uiPriority w:val="99"/>
    <w:qFormat/>
    <w:rsid w:val="006e6a0c"/>
    <w:pPr>
      <w:widowControl w:val="false"/>
      <w:spacing w:lineRule="exact" w:line="323" w:before="0" w:after="0"/>
      <w:jc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6e6a0c"/>
    <w:pPr>
      <w:widowControl w:val="false"/>
      <w:spacing w:lineRule="exact" w:line="322" w:before="0" w:after="0"/>
      <w:jc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4" w:customStyle="1">
    <w:name w:val="Style2"/>
    <w:basedOn w:val="Normal"/>
    <w:uiPriority w:val="99"/>
    <w:qFormat/>
    <w:rsid w:val="006e6a0c"/>
    <w:pPr>
      <w:widowControl w:val="false"/>
      <w:spacing w:lineRule="exact" w:line="323" w:before="0" w:after="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6e6a0c"/>
    <w:pPr>
      <w:widowControl w:val="false"/>
      <w:spacing w:lineRule="exact" w:line="328" w:before="0" w:after="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" w:customStyle="1">
    <w:name w:val="Без интервала1"/>
    <w:uiPriority w:val="99"/>
    <w:qFormat/>
    <w:rsid w:val="0002269b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6"/>
    <w:uiPriority w:val="99"/>
    <w:rsid w:val="00844da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8"/>
    <w:uiPriority w:val="99"/>
    <w:rsid w:val="00844da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" w:customStyle="1">
    <w:name w:val="Без интервала2"/>
    <w:uiPriority w:val="99"/>
    <w:qFormat/>
    <w:rsid w:val="003f5efc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link w:val="aa"/>
    <w:uiPriority w:val="99"/>
    <w:qFormat/>
    <w:rsid w:val="007f18be"/>
    <w:pPr>
      <w:widowControl w:val="false"/>
      <w:spacing w:lineRule="auto" w:line="240" w:before="0" w:after="0"/>
      <w:ind w:left="720" w:hanging="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3" w:customStyle="1">
    <w:name w:val="Без интервала3"/>
    <w:link w:val="ab"/>
    <w:uiPriority w:val="99"/>
    <w:qFormat/>
    <w:rsid w:val="008b009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en-US" w:bidi="ar-SA"/>
    </w:rPr>
  </w:style>
  <w:style w:type="paragraph" w:styleId="Style28">
    <w:name w:val="Endnote Text"/>
    <w:basedOn w:val="Normal"/>
    <w:link w:val="ad"/>
    <w:uiPriority w:val="99"/>
    <w:rsid w:val="008b0093"/>
    <w:pPr>
      <w:spacing w:lineRule="auto" w:line="240" w:before="0" w:after="0"/>
    </w:pPr>
    <w:rPr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6e6a0c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LibreOffice/6.3.1.2$Windows_X86_64 LibreOffice_project/b79626edf0065ac373bd1df5c28bd630b4424273</Application>
  <Pages>5</Pages>
  <Words>864</Words>
  <Characters>6276</Characters>
  <CharactersWithSpaces>7145</CharactersWithSpaces>
  <Paragraphs>71</Paragraphs>
  <Company>zem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2019-02-12T09:47:00Z</dcterms:created>
  <dc:creator>Lilia Shevchenko</dc:creator>
  <dc:description/>
  <dc:language>ru-RU</dc:language>
  <cp:lastModifiedBy/>
  <cp:lastPrinted>2023-06-09T12:38:40Z</cp:lastPrinted>
  <dcterms:modified xsi:type="dcterms:W3CDTF">2023-06-09T12:49:51Z</dcterms:modified>
  <cp:revision>12</cp:revision>
  <dc:subject/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zem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