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76" w:rsidRDefault="00E05A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5A76" w:rsidRDefault="00E05A76">
      <w:pPr>
        <w:pStyle w:val="ConsPlusNormal"/>
        <w:outlineLvl w:val="0"/>
      </w:pPr>
    </w:p>
    <w:p w:rsidR="00E05A76" w:rsidRDefault="00E05A76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05A76" w:rsidRDefault="00E05A76">
      <w:pPr>
        <w:pStyle w:val="ConsPlusTitle"/>
        <w:jc w:val="center"/>
      </w:pPr>
    </w:p>
    <w:p w:rsidR="00E05A76" w:rsidRDefault="00E05A76">
      <w:pPr>
        <w:pStyle w:val="ConsPlusTitle"/>
        <w:jc w:val="center"/>
      </w:pPr>
      <w:r>
        <w:t>ПОСТАНОВЛЕНИЕ</w:t>
      </w:r>
    </w:p>
    <w:p w:rsidR="00E05A76" w:rsidRDefault="00E05A76">
      <w:pPr>
        <w:pStyle w:val="ConsPlusTitle"/>
        <w:jc w:val="center"/>
      </w:pPr>
      <w:r>
        <w:t>от 17 июля 2017 г. N 273-пп</w:t>
      </w:r>
    </w:p>
    <w:p w:rsidR="00E05A76" w:rsidRDefault="00E05A76">
      <w:pPr>
        <w:pStyle w:val="ConsPlusTitle"/>
        <w:jc w:val="center"/>
      </w:pPr>
    </w:p>
    <w:p w:rsidR="00E05A76" w:rsidRDefault="00E05A76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E05A76" w:rsidRDefault="00E05A76">
      <w:pPr>
        <w:pStyle w:val="ConsPlusTitle"/>
        <w:jc w:val="center"/>
      </w:pPr>
      <w:r>
        <w:t>ИСПОЛНИТЕЛЬНЫХ ОРГАНОВ БЕЛГОРОДСКОЙ ОБЛАСТИ</w:t>
      </w:r>
    </w:p>
    <w:p w:rsidR="00E05A76" w:rsidRDefault="00E05A76">
      <w:pPr>
        <w:pStyle w:val="ConsPlusTitle"/>
        <w:jc w:val="center"/>
      </w:pPr>
      <w:r>
        <w:t>ПРИ ПОДГОТОВКЕ И РЕАЛИЗАЦИИ ПРОЕКТОВ</w:t>
      </w:r>
    </w:p>
    <w:p w:rsidR="00E05A76" w:rsidRDefault="00E05A76">
      <w:pPr>
        <w:pStyle w:val="ConsPlusTitle"/>
        <w:jc w:val="center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6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8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9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исполнительных органов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Белгородской области Гладского Д.Г.</w:t>
      </w:r>
    </w:p>
    <w:p w:rsidR="00E05A76" w:rsidRDefault="00E05A76">
      <w:pPr>
        <w:pStyle w:val="ConsPlusNormal"/>
        <w:jc w:val="both"/>
      </w:pPr>
      <w:r>
        <w:t xml:space="preserve">(в ред. постановлений Правительства Белгородской области от 25.10.2021 </w:t>
      </w:r>
      <w:hyperlink r:id="rId14">
        <w:r>
          <w:rPr>
            <w:color w:val="0000FF"/>
          </w:rPr>
          <w:t>N 481-пп</w:t>
        </w:r>
      </w:hyperlink>
      <w:r>
        <w:t xml:space="preserve">, от 24.01.2022 </w:t>
      </w:r>
      <w:hyperlink r:id="rId15">
        <w:r>
          <w:rPr>
            <w:color w:val="0000FF"/>
          </w:rPr>
          <w:t>N 22-пп</w:t>
        </w:r>
      </w:hyperlink>
      <w:r>
        <w:t xml:space="preserve">, от 25.12.2023 </w:t>
      </w:r>
      <w:hyperlink r:id="rId16">
        <w:r>
          <w:rPr>
            <w:color w:val="0000FF"/>
          </w:rPr>
          <w:t>N 764-пп</w:t>
        </w:r>
      </w:hyperlink>
      <w:r>
        <w:t>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</w:pPr>
      <w:r>
        <w:t>Губернатор Белгородской области</w:t>
      </w:r>
    </w:p>
    <w:p w:rsidR="00E05A76" w:rsidRDefault="00E05A76">
      <w:pPr>
        <w:pStyle w:val="ConsPlusNormal"/>
        <w:jc w:val="right"/>
      </w:pPr>
      <w:r>
        <w:t>Е.САВЧЕНКО</w:t>
      </w: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  <w:outlineLvl w:val="0"/>
      </w:pPr>
      <w:r>
        <w:t>Утвержден</w:t>
      </w:r>
    </w:p>
    <w:p w:rsidR="00E05A76" w:rsidRDefault="00E05A76">
      <w:pPr>
        <w:pStyle w:val="ConsPlusNormal"/>
        <w:jc w:val="right"/>
      </w:pPr>
      <w:r>
        <w:t>постановлением</w:t>
      </w:r>
    </w:p>
    <w:p w:rsidR="00E05A76" w:rsidRDefault="00E05A76">
      <w:pPr>
        <w:pStyle w:val="ConsPlusNormal"/>
        <w:jc w:val="right"/>
      </w:pPr>
      <w:r>
        <w:t>Правительства Белгородской области</w:t>
      </w:r>
    </w:p>
    <w:p w:rsidR="00E05A76" w:rsidRDefault="00E05A76">
      <w:pPr>
        <w:pStyle w:val="ConsPlusNormal"/>
        <w:jc w:val="right"/>
      </w:pPr>
      <w:r>
        <w:t>от 17 июля 2017 года N 273-пп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</w:pPr>
      <w:bookmarkStart w:id="1" w:name="P38"/>
      <w:bookmarkEnd w:id="1"/>
      <w:r>
        <w:t>ПОРЯДОК</w:t>
      </w:r>
    </w:p>
    <w:p w:rsidR="00E05A76" w:rsidRDefault="00E05A76">
      <w:pPr>
        <w:pStyle w:val="ConsPlusTitle"/>
        <w:jc w:val="center"/>
      </w:pPr>
      <w:r>
        <w:lastRenderedPageBreak/>
        <w:t>МЕЖВЕДОМСТВЕННОГО ВЗАИМОДЕЙСТВИЯ ИСПОЛНИТЕЛЬНЫХ ОРГАНОВ</w:t>
      </w:r>
    </w:p>
    <w:p w:rsidR="00E05A76" w:rsidRDefault="00E05A76">
      <w:pPr>
        <w:pStyle w:val="ConsPlusTitle"/>
        <w:jc w:val="center"/>
      </w:pPr>
      <w:r>
        <w:t>БЕЛГОРОДСКОЙ ОБЛАСТИ ПРИ ПОДГОТОВКЕ И РЕАЛИЗАЦИИ ПРОЕКТОВ</w:t>
      </w:r>
    </w:p>
    <w:p w:rsidR="00E05A76" w:rsidRDefault="00E05A76">
      <w:pPr>
        <w:pStyle w:val="ConsPlusTitle"/>
        <w:jc w:val="center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7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8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9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20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Title"/>
        <w:jc w:val="center"/>
        <w:outlineLvl w:val="1"/>
      </w:pPr>
      <w:r>
        <w:t>1. Общие положения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1.1. Настоящий Порядок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деятельности исполнительных органов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случаев проведения совместного конкурса с участием Российской Федерации).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1.3. Публичным партнером от имени Белгородской области выступает исполнительный орган Белгородской области, ответственный за проведение государственной политики и осуществление управления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1.4. Уполномоченным органом в сфере государственно-частного партнерства Белгородской области (далее -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2. Инициирование проекта государственно-частного партнерства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2.1. </w:t>
      </w:r>
      <w:hyperlink r:id="rId26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2.2. В случае если инициатором проекта ГЧП выступает публичный партнер, он обеспечивает разработку предложения о реализации проекта, в том числе подготовку проекта соглашения о </w:t>
      </w:r>
      <w:r>
        <w:lastRenderedPageBreak/>
        <w:t xml:space="preserve">государственно-частном партнерстве, в соответствии с требованиями </w:t>
      </w:r>
      <w:hyperlink r:id="rId27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2.3. В случае если инициатором проекта ГЧП выступает лицо, которое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N 224-ФЗ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r:id="rId29">
        <w:r>
          <w:rPr>
            <w:color w:val="0000FF"/>
          </w:rPr>
          <w:t>частями 3</w:t>
        </w:r>
      </w:hyperlink>
      <w:r>
        <w:t xml:space="preserve">, </w:t>
      </w:r>
      <w:hyperlink r:id="rId30">
        <w:r>
          <w:rPr>
            <w:color w:val="0000FF"/>
          </w:rPr>
          <w:t>4 статьи 8</w:t>
        </w:r>
      </w:hyperlink>
      <w:r>
        <w:t xml:space="preserve"> Федерального закона N 224-ФЗ, и направить предложения о реализации проекта ГЧП на рассмотрение публичному партнеру.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r:id="rId31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2.5. Публичный партнер рассматривает предложение частого партнера о реализации проекта в соответствии с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33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Допускается принятие публичным партнером решения о невозможности реализации проекта в случаях, предусмотренных </w:t>
      </w:r>
      <w:hyperlink r:id="rId34">
        <w:r>
          <w:rPr>
            <w:color w:val="0000FF"/>
          </w:rPr>
          <w:t>частью 7.1 статьи 8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Решение публичного партнера оформляется приказом.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2.6. 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r:id="rId36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2.7. В срок, не превышающий 10 дней со дня принятия одного из решений, указанных в </w:t>
      </w:r>
      <w:hyperlink w:anchor="P63">
        <w:r>
          <w:rPr>
            <w:color w:val="0000FF"/>
          </w:rPr>
          <w:t>пункте 2.5 раздела 2</w:t>
        </w:r>
      </w:hyperlink>
      <w:r>
        <w:t xml:space="preserve">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2.8. 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предложение о реализации проекта и копии </w:t>
      </w:r>
      <w:r>
        <w:lastRenderedPageBreak/>
        <w:t>протоколов предварительных переговоров и (или) переговоров (в случае, если эти переговоры были проведены) в уполномоченный орган.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3. Рассмотрение предложения о реализации</w:t>
      </w:r>
    </w:p>
    <w:p w:rsidR="00E05A76" w:rsidRDefault="00E05A76">
      <w:pPr>
        <w:pStyle w:val="ConsPlusTitle"/>
        <w:jc w:val="center"/>
      </w:pPr>
      <w:r>
        <w:t>проекта ГЧП уполномоченным органом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3.1. 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r:id="rId38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в соответствии с требованиями, предусмотренными </w:t>
      </w:r>
      <w:hyperlink r:id="rId39">
        <w:r>
          <w:rPr>
            <w:color w:val="0000FF"/>
          </w:rPr>
          <w:t>статьей 9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в министерство финансов и бюджетной политики Белгородской области - для оценки возможности участия средств бюджета Белгородской области в реализации проекта ГЧП;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в министерство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определения прав собственности, обременений и ограничений на объект соглашения о государственно-частном партнерстве.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В соответствии со спецификой проекта ГЧП предложение о реализации проекта ГЧП может быть 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3.3. Заключения министерства финансов и бюджетной политики Белгородской области, министерства имущественных и 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привлекать экспертов и экспертные организации, а также юридических, технических и иных консультантов;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запрашивать у публичного партнера и (или) частного партнера дополнительные материалы и документы;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проводить переговоры в соответствии с </w:t>
      </w:r>
      <w:hyperlink r:id="rId43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группа). Положение о Рабочей группе и ее состав утверждаются приказом уполномоченного органа.</w:t>
      </w:r>
    </w:p>
    <w:p w:rsidR="00E05A76" w:rsidRDefault="00E05A76">
      <w:pPr>
        <w:pStyle w:val="ConsPlusNormal"/>
        <w:jc w:val="both"/>
      </w:pPr>
      <w:r>
        <w:t xml:space="preserve">(п. 3.6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08.10.2018 N 364-пп)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рекомендательных решений: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признании целесообразности реализации проекта ГЧП;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признании нецелесообразности реализации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3.8. Уполномоченный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3.10. Уполномоченный орган в течение 5 дней со дня утверждения заключения: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размещает заключение, предложение о реализации проекта ГЧП и протокол переговоров (в случае, если переговоры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3.11. Утверждение уполномоченным органом отрицательного заключения является отказом от реализации проекта ГЧП.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4. Принятие решения о реализации проекта ГЧП и заключение</w:t>
      </w:r>
    </w:p>
    <w:p w:rsidR="00E05A76" w:rsidRDefault="00E05A76">
      <w:pPr>
        <w:pStyle w:val="ConsPlusTitle"/>
        <w:jc w:val="center"/>
      </w:pPr>
      <w:r>
        <w:t>соглашения о государственно-частном партнерстве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45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30 календарных дней со дня получения публичным партнером положительного заключения уполномоченного органа.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4.4. Указанный в </w:t>
      </w:r>
      <w:hyperlink w:anchor="P106">
        <w:r>
          <w:rPr>
            <w:color w:val="0000FF"/>
          </w:rPr>
          <w:t>пункте 4.2 раздела 4</w:t>
        </w:r>
      </w:hyperlink>
      <w: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4.5. На основании Распоряжения о реализации проекта ГЧП публичный партнер обеспечивает: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47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48">
        <w:r>
          <w:rPr>
            <w:color w:val="0000FF"/>
          </w:rPr>
          <w:t>частями 3.2</w:t>
        </w:r>
      </w:hyperlink>
      <w:r>
        <w:t xml:space="preserve">, </w:t>
      </w:r>
      <w:hyperlink r:id="rId49">
        <w:r>
          <w:rPr>
            <w:color w:val="0000FF"/>
          </w:rPr>
          <w:t>8</w:t>
        </w:r>
      </w:hyperlink>
      <w:r>
        <w:t xml:space="preserve"> - </w:t>
      </w:r>
      <w:hyperlink r:id="rId50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размещение в соответствии с </w:t>
      </w:r>
      <w:hyperlink r:id="rId52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www.torgi.gov.ru;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r:id="rId53">
        <w:r>
          <w:rPr>
            <w:color w:val="0000FF"/>
          </w:rPr>
          <w:t>частями 9</w:t>
        </w:r>
      </w:hyperlink>
      <w:r>
        <w:t xml:space="preserve"> - </w:t>
      </w:r>
      <w:hyperlink r:id="rId54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организацию заключения соглашения о ГЧП в соответствии со </w:t>
      </w:r>
      <w:hyperlink r:id="rId56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4.9. Уполномоченный орган повторно рассматривает конкурсную документацию в порядке, установленном </w:t>
      </w:r>
      <w:hyperlink w:anchor="P116">
        <w:r>
          <w:rPr>
            <w:color w:val="0000FF"/>
          </w:rPr>
          <w:t>пунктами 4.6</w:t>
        </w:r>
      </w:hyperlink>
      <w:r>
        <w:t xml:space="preserve"> - </w:t>
      </w:r>
      <w:hyperlink w:anchor="P118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5. Контроль за реализацией и мониторинг</w:t>
      </w:r>
    </w:p>
    <w:p w:rsidR="00E05A76" w:rsidRDefault="00E05A76">
      <w:pPr>
        <w:pStyle w:val="ConsPlusTitle"/>
        <w:jc w:val="center"/>
      </w:pPr>
      <w:r>
        <w:t>реализации соглашений о ГЧП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5.1. Контроль за исполнением соглашений о ГЧП осуществляется публичным партнером в соответствии со </w:t>
      </w:r>
      <w:hyperlink r:id="rId57">
        <w:r>
          <w:rPr>
            <w:color w:val="0000FF"/>
          </w:rPr>
          <w:t>статьей 14</w:t>
        </w:r>
      </w:hyperlink>
      <w:r>
        <w:t xml:space="preserve"> Федерального закона N 224-ФЗ и </w:t>
      </w:r>
      <w:hyperlink r:id="rId58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5.3. Мониторинг реализации соглашений о ГЧП (далее - мониторинг) проводится уполномоченным органом в соответствии с </w:t>
      </w:r>
      <w:hyperlink r:id="rId59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E05A76" w:rsidRDefault="00E05A76">
      <w:pPr>
        <w:pStyle w:val="ConsPlusNormal"/>
        <w:jc w:val="both"/>
      </w:pPr>
      <w:r>
        <w:t xml:space="preserve">(п. 5.3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5.4. В целях проведения мониторинга публичный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r:id="rId61">
        <w:r>
          <w:rPr>
            <w:color w:val="0000FF"/>
          </w:rPr>
          <w:t>пунктах 7</w:t>
        </w:r>
      </w:hyperlink>
      <w:r>
        <w:t xml:space="preserve"> - </w:t>
      </w:r>
      <w:hyperlink r:id="rId62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Внесение в информационную систему соответствующих сведений о соглашениях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anchor="P162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Одновременно публичный партнер направляет вышеуказанные сведения и копии обосновывающих документов в уполномоченный орган.</w:t>
      </w:r>
    </w:p>
    <w:p w:rsidR="00E05A76" w:rsidRDefault="00E05A76">
      <w:pPr>
        <w:pStyle w:val="ConsPlusNormal"/>
        <w:jc w:val="both"/>
      </w:pPr>
      <w:r>
        <w:t xml:space="preserve">(п. 5.4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5.5. Ежегодно в срок до 1 февраля и до 1 августа публичный партнер представляет в уполномоченный орган </w:t>
      </w:r>
      <w:hyperlink w:anchor="P205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 w:rsidR="00E05A76" w:rsidRDefault="00E05A76">
      <w:pPr>
        <w:pStyle w:val="ConsPlusNormal"/>
        <w:jc w:val="both"/>
      </w:pPr>
      <w:r>
        <w:t xml:space="preserve">(п. 5.5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</w:t>
      </w:r>
      <w:hyperlink w:anchor="P256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E05A76" w:rsidRDefault="00E05A76">
      <w:pPr>
        <w:pStyle w:val="ConsPlusNormal"/>
        <w:jc w:val="both"/>
      </w:pPr>
      <w:r>
        <w:t xml:space="preserve">(п. 5.6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5.7. 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согласно приложению N 3 к Порядку.</w:t>
      </w:r>
    </w:p>
    <w:p w:rsidR="00E05A76" w:rsidRDefault="00E05A76">
      <w:pPr>
        <w:pStyle w:val="ConsPlusNormal"/>
        <w:jc w:val="both"/>
      </w:pPr>
      <w:r>
        <w:t xml:space="preserve">(п. 5.7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6. Ведение реестра заключенных соглашений о ГЧП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6.1. Уполномоченный орган осуществляет ведение реестра заключенных соглашений о ГЧП, включающего в себя: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соглашения о ГЧП, заключенные по итогам проведенных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6.2. Ведение </w:t>
      </w:r>
      <w:hyperlink w:anchor="P324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anchor="P129">
        <w:r>
          <w:rPr>
            <w:color w:val="0000FF"/>
          </w:rPr>
          <w:t>пунктами 5.4</w:t>
        </w:r>
      </w:hyperlink>
      <w:r>
        <w:t xml:space="preserve"> и </w:t>
      </w:r>
      <w:hyperlink w:anchor="P136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E05A76" w:rsidRDefault="00E05A76">
      <w:pPr>
        <w:pStyle w:val="ConsPlusNormal"/>
        <w:jc w:val="both"/>
      </w:pPr>
      <w:r>
        <w:t xml:space="preserve">(п. 6.2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6.3. Реестр проектов ведется в электронном виде в табличных файлах формата "xls" редактора Microsoft Excel путем последовательного внесения в него записей.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anchor="P146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1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</w:pPr>
      <w:bookmarkStart w:id="9" w:name="P162"/>
      <w:bookmarkEnd w:id="9"/>
      <w:r>
        <w:t>Перечень</w:t>
      </w:r>
    </w:p>
    <w:p w:rsidR="00E05A76" w:rsidRDefault="00E05A76">
      <w:pPr>
        <w:pStyle w:val="ConsPlusTitle"/>
        <w:jc w:val="center"/>
      </w:pPr>
      <w:r>
        <w:t>обосновывающих документов, подтверждающих полноту</w:t>
      </w:r>
    </w:p>
    <w:p w:rsidR="00E05A76" w:rsidRDefault="00E05A76">
      <w:pPr>
        <w:pStyle w:val="ConsPlusTitle"/>
        <w:jc w:val="center"/>
      </w:pPr>
      <w:r>
        <w:t>и достоверность внесенных в государственную</w:t>
      </w:r>
    </w:p>
    <w:p w:rsidR="00E05A76" w:rsidRDefault="00E05A76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E05A76" w:rsidRDefault="00E05A76">
      <w:pPr>
        <w:pStyle w:val="ConsPlusTitle"/>
        <w:jc w:val="center"/>
      </w:pPr>
      <w:r>
        <w:t>сведений о соглашениях о государственно-частном партнерстве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8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69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 Заключение об эффективности проекта ГЧП и его сравнительном преимуществе, заключение о неэффективности проекта ГЧП и (или) об отсутствии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 Решение о реализации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 Конкурсная документация.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7. Решение о признании конкурса на право заключения соглашения о ГЧП несостоявшимся.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8. Проект соглашения о ГЧП (со всеми приложениями).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9. Соглашение о ГЧП (со всеми приложениями).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12. Расчет предусмотренных соглашением о ГЧП прогнозного размера безусловных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13. Инвестиционная программа, утвержденная исполнительным органом Белгородской области и (или) органом местного самоуправления в случаях, предусмотренных </w:t>
      </w:r>
      <w:hyperlink r:id="rId70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14. Акты ввода объектов соглашений о ГЧП в эксплуатацию.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16. Решение о прекращении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17. Решение о внесении изменений в условия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2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72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73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center"/>
      </w:pPr>
      <w:bookmarkStart w:id="10" w:name="P205"/>
      <w:bookmarkEnd w:id="10"/>
      <w:r>
        <w:t>Сведения</w:t>
      </w:r>
    </w:p>
    <w:p w:rsidR="00E05A76" w:rsidRDefault="00E05A76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E05A76" w:rsidRDefault="00E05A76">
      <w:pPr>
        <w:pStyle w:val="ConsPlusNormal"/>
        <w:jc w:val="center"/>
      </w:pPr>
      <w:r>
        <w:t>о соглашениях о государственно-частном партнерстве</w:t>
      </w:r>
    </w:p>
    <w:p w:rsidR="00E05A76" w:rsidRDefault="00E05A76">
      <w:pPr>
        <w:pStyle w:val="ConsPlusNormal"/>
        <w:jc w:val="center"/>
      </w:pPr>
      <w:r>
        <w:t>в государственную автоматизированную</w:t>
      </w:r>
    </w:p>
    <w:p w:rsidR="00E05A76" w:rsidRDefault="00E05A76">
      <w:pPr>
        <w:pStyle w:val="ConsPlusNormal"/>
        <w:jc w:val="center"/>
      </w:pPr>
      <w:r>
        <w:t>информационную систему "Управление"</w:t>
      </w:r>
    </w:p>
    <w:p w:rsidR="00E05A76" w:rsidRDefault="00E05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</w:tcPr>
          <w:p w:rsidR="00E05A76" w:rsidRDefault="00E05A76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</w:tcPr>
          <w:p w:rsidR="00E05A76" w:rsidRDefault="00E05A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9" w:type="dxa"/>
          </w:tcPr>
          <w:p w:rsidR="00E05A76" w:rsidRDefault="00E05A7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</w:tcPr>
          <w:p w:rsidR="00E05A76" w:rsidRDefault="00E05A7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right"/>
        <w:outlineLvl w:val="1"/>
      </w:pPr>
      <w:r>
        <w:t>Приложение N 3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center"/>
      </w:pPr>
      <w:bookmarkStart w:id="11" w:name="P256"/>
      <w:bookmarkEnd w:id="11"/>
      <w:r>
        <w:t>Результаты мониторинга реализации соглашений о</w:t>
      </w:r>
    </w:p>
    <w:p w:rsidR="00E05A76" w:rsidRDefault="00E05A76">
      <w:pPr>
        <w:pStyle w:val="ConsPlusNormal"/>
        <w:jc w:val="center"/>
      </w:pPr>
      <w:r>
        <w:t>государственно-частном партнерстве за 20__ год</w:t>
      </w:r>
    </w:p>
    <w:p w:rsidR="00E05A76" w:rsidRDefault="00E05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732"/>
        <w:gridCol w:w="1871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32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заключенных в отчетном году соглашений о ГЧП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Средний срок заключения соглашений о ГЧП, заключенных в отчетном году (период с даты принятия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4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center"/>
      </w:pPr>
      <w:bookmarkStart w:id="12" w:name="P324"/>
      <w:bookmarkEnd w:id="12"/>
      <w:r>
        <w:t>Реестр соглашений о государственно-частном партнерстве</w:t>
      </w: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sectPr w:rsidR="00E05A76" w:rsidSect="00763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</w:tcPr>
          <w:p w:rsidR="00E05A76" w:rsidRDefault="00E05A7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94" w:type="dxa"/>
          </w:tcPr>
          <w:p w:rsidR="00E05A76" w:rsidRDefault="00E05A76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</w:tcPr>
          <w:p w:rsidR="00E05A76" w:rsidRDefault="00E05A76">
            <w:pPr>
              <w:pStyle w:val="ConsPlusNormal"/>
              <w:jc w:val="center"/>
            </w:pPr>
            <w:r>
              <w:t>Общая стоимость создания объекта (млн руб.)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8E6" w:rsidRDefault="008154F8"/>
    <w:sectPr w:rsidR="00F448E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76"/>
    <w:rsid w:val="00226520"/>
    <w:rsid w:val="008154F8"/>
    <w:rsid w:val="00941342"/>
    <w:rsid w:val="00E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90936&amp;dst=100011" TargetMode="External"/><Relationship Id="rId21" Type="http://schemas.openxmlformats.org/officeDocument/2006/relationships/hyperlink" Target="https://login.consultant.ru/link/?req=doc&amp;base=RLAW404&amp;n=96387&amp;dst=100010" TargetMode="External"/><Relationship Id="rId42" Type="http://schemas.openxmlformats.org/officeDocument/2006/relationships/hyperlink" Target="https://login.consultant.ru/link/?req=doc&amp;base=RLAW404&amp;n=84149&amp;dst=100028" TargetMode="External"/><Relationship Id="rId47" Type="http://schemas.openxmlformats.org/officeDocument/2006/relationships/hyperlink" Target="https://login.consultant.ru/link/?req=doc&amp;base=LAW&amp;n=451990&amp;dst=100325" TargetMode="External"/><Relationship Id="rId63" Type="http://schemas.openxmlformats.org/officeDocument/2006/relationships/hyperlink" Target="https://login.consultant.ru/link/?req=doc&amp;base=RLAW404&amp;n=82366&amp;dst=100010" TargetMode="External"/><Relationship Id="rId68" Type="http://schemas.openxmlformats.org/officeDocument/2006/relationships/hyperlink" Target="https://login.consultant.ru/link/?req=doc&amp;base=RLAW404&amp;n=82366&amp;dst=100019" TargetMode="External"/><Relationship Id="rId16" Type="http://schemas.openxmlformats.org/officeDocument/2006/relationships/hyperlink" Target="https://login.consultant.ru/link/?req=doc&amp;base=RLAW404&amp;n=96387&amp;dst=100008" TargetMode="External"/><Relationship Id="rId11" Type="http://schemas.openxmlformats.org/officeDocument/2006/relationships/hyperlink" Target="https://login.consultant.ru/link/?req=doc&amp;base=RLAW404&amp;n=84480&amp;dst=100006" TargetMode="External"/><Relationship Id="rId24" Type="http://schemas.openxmlformats.org/officeDocument/2006/relationships/hyperlink" Target="https://login.consultant.ru/link/?req=doc&amp;base=RLAW404&amp;n=84480" TargetMode="External"/><Relationship Id="rId32" Type="http://schemas.openxmlformats.org/officeDocument/2006/relationships/hyperlink" Target="https://login.consultant.ru/link/?req=doc&amp;base=LAW&amp;n=190895" TargetMode="External"/><Relationship Id="rId37" Type="http://schemas.openxmlformats.org/officeDocument/2006/relationships/hyperlink" Target="https://login.consultant.ru/link/?req=doc&amp;base=LAW&amp;n=315398" TargetMode="External"/><Relationship Id="rId40" Type="http://schemas.openxmlformats.org/officeDocument/2006/relationships/hyperlink" Target="https://login.consultant.ru/link/?req=doc&amp;base=RLAW404&amp;n=84149&amp;dst=100028" TargetMode="External"/><Relationship Id="rId45" Type="http://schemas.openxmlformats.org/officeDocument/2006/relationships/hyperlink" Target="https://login.consultant.ru/link/?req=doc&amp;base=LAW&amp;n=451990&amp;dst=100151" TargetMode="External"/><Relationship Id="rId53" Type="http://schemas.openxmlformats.org/officeDocument/2006/relationships/hyperlink" Target="https://login.consultant.ru/link/?req=doc&amp;base=LAW&amp;n=451990&amp;dst=100174" TargetMode="External"/><Relationship Id="rId58" Type="http://schemas.openxmlformats.org/officeDocument/2006/relationships/hyperlink" Target="https://login.consultant.ru/link/?req=doc&amp;base=LAW&amp;n=432516&amp;dst=100009" TargetMode="External"/><Relationship Id="rId66" Type="http://schemas.openxmlformats.org/officeDocument/2006/relationships/hyperlink" Target="https://login.consultant.ru/link/?req=doc&amp;base=RLAW404&amp;n=82366&amp;dst=100016" TargetMode="External"/><Relationship Id="rId74" Type="http://schemas.openxmlformats.org/officeDocument/2006/relationships/hyperlink" Target="https://login.consultant.ru/link/?req=doc&amp;base=RLAW404&amp;n=82366&amp;dst=10002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381323&amp;dst=100022" TargetMode="External"/><Relationship Id="rId19" Type="http://schemas.openxmlformats.org/officeDocument/2006/relationships/hyperlink" Target="https://login.consultant.ru/link/?req=doc&amp;base=RLAW404&amp;n=84149&amp;dst=100026" TargetMode="External"/><Relationship Id="rId14" Type="http://schemas.openxmlformats.org/officeDocument/2006/relationships/hyperlink" Target="https://login.consultant.ru/link/?req=doc&amp;base=RLAW404&amp;n=82366&amp;dst=100006" TargetMode="External"/><Relationship Id="rId22" Type="http://schemas.openxmlformats.org/officeDocument/2006/relationships/hyperlink" Target="https://login.consultant.ru/link/?req=doc&amp;base=LAW&amp;n=451990" TargetMode="External"/><Relationship Id="rId27" Type="http://schemas.openxmlformats.org/officeDocument/2006/relationships/hyperlink" Target="https://login.consultant.ru/link/?req=doc&amp;base=LAW&amp;n=451990&amp;dst=100103" TargetMode="External"/><Relationship Id="rId30" Type="http://schemas.openxmlformats.org/officeDocument/2006/relationships/hyperlink" Target="https://login.consultant.ru/link/?req=doc&amp;base=LAW&amp;n=451990&amp;dst=100114" TargetMode="External"/><Relationship Id="rId35" Type="http://schemas.openxmlformats.org/officeDocument/2006/relationships/hyperlink" Target="https://login.consultant.ru/link/?req=doc&amp;base=RLAW404&amp;n=96387&amp;dst=100011" TargetMode="External"/><Relationship Id="rId43" Type="http://schemas.openxmlformats.org/officeDocument/2006/relationships/hyperlink" Target="https://login.consultant.ru/link/?req=doc&amp;base=LAW&amp;n=189988&amp;dst=100010" TargetMode="External"/><Relationship Id="rId48" Type="http://schemas.openxmlformats.org/officeDocument/2006/relationships/hyperlink" Target="https://login.consultant.ru/link/?req=doc&amp;base=LAW&amp;n=451990&amp;dst=45" TargetMode="External"/><Relationship Id="rId56" Type="http://schemas.openxmlformats.org/officeDocument/2006/relationships/hyperlink" Target="https://login.consultant.ru/link/?req=doc&amp;base=LAW&amp;n=451990&amp;dst=100529" TargetMode="External"/><Relationship Id="rId64" Type="http://schemas.openxmlformats.org/officeDocument/2006/relationships/hyperlink" Target="https://login.consultant.ru/link/?req=doc&amp;base=RLAW404&amp;n=82366&amp;dst=100014" TargetMode="External"/><Relationship Id="rId69" Type="http://schemas.openxmlformats.org/officeDocument/2006/relationships/hyperlink" Target="https://login.consultant.ru/link/?req=doc&amp;base=RLAW404&amp;n=96387&amp;dst=100006" TargetMode="External"/><Relationship Id="rId77" Type="http://schemas.openxmlformats.org/officeDocument/2006/relationships/hyperlink" Target="https://login.consultant.ru/link/?req=doc&amp;base=RLAW404&amp;n=96387&amp;dst=100006" TargetMode="External"/><Relationship Id="rId8" Type="http://schemas.openxmlformats.org/officeDocument/2006/relationships/hyperlink" Target="https://login.consultant.ru/link/?req=doc&amp;base=RLAW404&amp;n=84149&amp;dst=100024" TargetMode="External"/><Relationship Id="rId51" Type="http://schemas.openxmlformats.org/officeDocument/2006/relationships/hyperlink" Target="https://login.consultant.ru/link/?req=doc&amp;base=RLAW404&amp;n=96387&amp;dst=100015" TargetMode="External"/><Relationship Id="rId72" Type="http://schemas.openxmlformats.org/officeDocument/2006/relationships/hyperlink" Target="https://login.consultant.ru/link/?req=doc&amp;base=RLAW404&amp;n=82366&amp;dst=1000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404&amp;n=96387&amp;dst=100007" TargetMode="External"/><Relationship Id="rId17" Type="http://schemas.openxmlformats.org/officeDocument/2006/relationships/hyperlink" Target="https://login.consultant.ru/link/?req=doc&amp;base=RLAW404&amp;n=64425&amp;dst=100006" TargetMode="External"/><Relationship Id="rId25" Type="http://schemas.openxmlformats.org/officeDocument/2006/relationships/hyperlink" Target="https://login.consultant.ru/link/?req=doc&amp;base=RLAW404&amp;n=84149&amp;dst=100027" TargetMode="External"/><Relationship Id="rId33" Type="http://schemas.openxmlformats.org/officeDocument/2006/relationships/hyperlink" Target="https://login.consultant.ru/link/?req=doc&amp;base=LAW&amp;n=451990&amp;dst=100119" TargetMode="External"/><Relationship Id="rId38" Type="http://schemas.openxmlformats.org/officeDocument/2006/relationships/hyperlink" Target="https://login.consultant.ru/link/?req=doc&amp;base=LAW&amp;n=192148" TargetMode="External"/><Relationship Id="rId46" Type="http://schemas.openxmlformats.org/officeDocument/2006/relationships/hyperlink" Target="https://login.consultant.ru/link/?req=doc&amp;base=RLAW404&amp;n=96387&amp;dst=100014" TargetMode="External"/><Relationship Id="rId59" Type="http://schemas.openxmlformats.org/officeDocument/2006/relationships/hyperlink" Target="https://login.consultant.ru/link/?req=doc&amp;base=LAW&amp;n=381323&amp;dst=100013" TargetMode="External"/><Relationship Id="rId67" Type="http://schemas.openxmlformats.org/officeDocument/2006/relationships/hyperlink" Target="https://login.consultant.ru/link/?req=doc&amp;base=RLAW404&amp;n=82366&amp;dst=100017" TargetMode="External"/><Relationship Id="rId20" Type="http://schemas.openxmlformats.org/officeDocument/2006/relationships/hyperlink" Target="https://login.consultant.ru/link/?req=doc&amp;base=RLAW404&amp;n=96387&amp;dst=100006" TargetMode="External"/><Relationship Id="rId41" Type="http://schemas.openxmlformats.org/officeDocument/2006/relationships/hyperlink" Target="https://login.consultant.ru/link/?req=doc&amp;base=RLAW404&amp;n=84149&amp;dst=100028" TargetMode="External"/><Relationship Id="rId54" Type="http://schemas.openxmlformats.org/officeDocument/2006/relationships/hyperlink" Target="https://login.consultant.ru/link/?req=doc&amp;base=LAW&amp;n=451990&amp;dst=100176" TargetMode="External"/><Relationship Id="rId62" Type="http://schemas.openxmlformats.org/officeDocument/2006/relationships/hyperlink" Target="https://login.consultant.ru/link/?req=doc&amp;base=LAW&amp;n=381323&amp;dst=100037" TargetMode="External"/><Relationship Id="rId70" Type="http://schemas.openxmlformats.org/officeDocument/2006/relationships/hyperlink" Target="https://login.consultant.ru/link/?req=doc&amp;base=LAW&amp;n=451990&amp;dst=100207" TargetMode="External"/><Relationship Id="rId75" Type="http://schemas.openxmlformats.org/officeDocument/2006/relationships/hyperlink" Target="https://login.consultant.ru/link/?req=doc&amp;base=RLAW404&amp;n=96387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64425&amp;dst=100005" TargetMode="External"/><Relationship Id="rId15" Type="http://schemas.openxmlformats.org/officeDocument/2006/relationships/hyperlink" Target="https://login.consultant.ru/link/?req=doc&amp;base=RLAW404&amp;n=84149&amp;dst=100025" TargetMode="External"/><Relationship Id="rId23" Type="http://schemas.openxmlformats.org/officeDocument/2006/relationships/hyperlink" Target="https://login.consultant.ru/link/?req=doc&amp;base=RLAW404&amp;n=96387&amp;dst=100010" TargetMode="External"/><Relationship Id="rId28" Type="http://schemas.openxmlformats.org/officeDocument/2006/relationships/hyperlink" Target="https://login.consultant.ru/link/?req=doc&amp;base=LAW&amp;n=451990" TargetMode="External"/><Relationship Id="rId36" Type="http://schemas.openxmlformats.org/officeDocument/2006/relationships/hyperlink" Target="https://login.consultant.ru/link/?req=doc&amp;base=LAW&amp;n=191541&amp;dst=100010" TargetMode="External"/><Relationship Id="rId49" Type="http://schemas.openxmlformats.org/officeDocument/2006/relationships/hyperlink" Target="https://login.consultant.ru/link/?req=doc&amp;base=LAW&amp;n=451990&amp;dst=117" TargetMode="External"/><Relationship Id="rId57" Type="http://schemas.openxmlformats.org/officeDocument/2006/relationships/hyperlink" Target="https://login.consultant.ru/link/?req=doc&amp;base=LAW&amp;n=451990&amp;dst=100257" TargetMode="External"/><Relationship Id="rId10" Type="http://schemas.openxmlformats.org/officeDocument/2006/relationships/hyperlink" Target="https://login.consultant.ru/link/?req=doc&amp;base=LAW&amp;n=451990&amp;dst=100101" TargetMode="External"/><Relationship Id="rId31" Type="http://schemas.openxmlformats.org/officeDocument/2006/relationships/hyperlink" Target="https://login.consultant.ru/link/?req=doc&amp;base=LAW&amp;n=191504&amp;dst=100010" TargetMode="External"/><Relationship Id="rId44" Type="http://schemas.openxmlformats.org/officeDocument/2006/relationships/hyperlink" Target="https://login.consultant.ru/link/?req=doc&amp;base=RLAW404&amp;n=64425&amp;dst=100007" TargetMode="External"/><Relationship Id="rId52" Type="http://schemas.openxmlformats.org/officeDocument/2006/relationships/hyperlink" Target="https://login.consultant.ru/link/?req=doc&amp;base=LAW&amp;n=451990&amp;dst=100173" TargetMode="External"/><Relationship Id="rId60" Type="http://schemas.openxmlformats.org/officeDocument/2006/relationships/hyperlink" Target="https://login.consultant.ru/link/?req=doc&amp;base=RLAW404&amp;n=82366&amp;dst=100008" TargetMode="External"/><Relationship Id="rId65" Type="http://schemas.openxmlformats.org/officeDocument/2006/relationships/hyperlink" Target="https://login.consultant.ru/link/?req=doc&amp;base=RLAW404&amp;n=82366&amp;dst=100015" TargetMode="External"/><Relationship Id="rId73" Type="http://schemas.openxmlformats.org/officeDocument/2006/relationships/hyperlink" Target="https://login.consultant.ru/link/?req=doc&amp;base=RLAW404&amp;n=96387&amp;dst=10000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96387&amp;dst=100005" TargetMode="External"/><Relationship Id="rId13" Type="http://schemas.openxmlformats.org/officeDocument/2006/relationships/hyperlink" Target="https://login.consultant.ru/link/?req=doc&amp;base=RLAW404&amp;n=96387&amp;dst=100006" TargetMode="External"/><Relationship Id="rId18" Type="http://schemas.openxmlformats.org/officeDocument/2006/relationships/hyperlink" Target="https://login.consultant.ru/link/?req=doc&amp;base=RLAW404&amp;n=82366&amp;dst=100007" TargetMode="External"/><Relationship Id="rId39" Type="http://schemas.openxmlformats.org/officeDocument/2006/relationships/hyperlink" Target="https://login.consultant.ru/link/?req=doc&amp;base=LAW&amp;n=451990&amp;dst=100133" TargetMode="External"/><Relationship Id="rId34" Type="http://schemas.openxmlformats.org/officeDocument/2006/relationships/hyperlink" Target="https://login.consultant.ru/link/?req=doc&amp;base=LAW&amp;n=451990&amp;dst=111" TargetMode="External"/><Relationship Id="rId50" Type="http://schemas.openxmlformats.org/officeDocument/2006/relationships/hyperlink" Target="https://login.consultant.ru/link/?req=doc&amp;base=LAW&amp;n=451990&amp;dst=100176" TargetMode="External"/><Relationship Id="rId55" Type="http://schemas.openxmlformats.org/officeDocument/2006/relationships/hyperlink" Target="https://login.consultant.ru/link/?req=doc&amp;base=LAW&amp;n=190890" TargetMode="External"/><Relationship Id="rId76" Type="http://schemas.openxmlformats.org/officeDocument/2006/relationships/hyperlink" Target="https://login.consultant.ru/link/?req=doc&amp;base=RLAW404&amp;n=82366&amp;dst=100093" TargetMode="External"/><Relationship Id="rId7" Type="http://schemas.openxmlformats.org/officeDocument/2006/relationships/hyperlink" Target="https://login.consultant.ru/link/?req=doc&amp;base=RLAW404&amp;n=82366&amp;dst=100005" TargetMode="External"/><Relationship Id="rId71" Type="http://schemas.openxmlformats.org/officeDocument/2006/relationships/hyperlink" Target="https://login.consultant.ru/link/?req=doc&amp;base=RLAW404&amp;n=96387&amp;dst=1000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1990&amp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Liliya Popova</cp:lastModifiedBy>
  <cp:revision>2</cp:revision>
  <dcterms:created xsi:type="dcterms:W3CDTF">2024-02-26T14:28:00Z</dcterms:created>
  <dcterms:modified xsi:type="dcterms:W3CDTF">2024-02-26T14:28:00Z</dcterms:modified>
</cp:coreProperties>
</file>