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39AF6" w14:textId="77777777" w:rsidR="006A518D" w:rsidRPr="00082F3D" w:rsidRDefault="006A518D" w:rsidP="006A518D">
      <w:pPr>
        <w:jc w:val="center"/>
        <w:rPr>
          <w:rFonts w:ascii="Times New Roman" w:hAnsi="Times New Roman" w:cs="Times New Roman"/>
          <w:b/>
          <w:color w:val="000000" w:themeColor="text1"/>
          <w:sz w:val="28"/>
          <w:szCs w:val="28"/>
        </w:rPr>
      </w:pPr>
      <w:r w:rsidRPr="00082F3D">
        <w:rPr>
          <w:rFonts w:ascii="Times New Roman" w:hAnsi="Times New Roman" w:cs="Times New Roman"/>
          <w:b/>
          <w:color w:val="000000" w:themeColor="text1"/>
          <w:sz w:val="28"/>
          <w:szCs w:val="28"/>
        </w:rPr>
        <w:t xml:space="preserve">Порядок </w:t>
      </w:r>
      <w:r>
        <w:rPr>
          <w:rFonts w:ascii="Times New Roman" w:hAnsi="Times New Roman" w:cs="Times New Roman"/>
          <w:b/>
          <w:color w:val="000000" w:themeColor="text1"/>
          <w:sz w:val="28"/>
          <w:szCs w:val="28"/>
        </w:rPr>
        <w:t>рассмотрения и оценки</w:t>
      </w:r>
      <w:r w:rsidRPr="00082F3D">
        <w:rPr>
          <w:rFonts w:ascii="Times New Roman" w:hAnsi="Times New Roman" w:cs="Times New Roman"/>
          <w:b/>
          <w:color w:val="000000" w:themeColor="text1"/>
          <w:sz w:val="28"/>
          <w:szCs w:val="28"/>
        </w:rPr>
        <w:t xml:space="preserve"> з</w:t>
      </w:r>
      <w:r>
        <w:rPr>
          <w:rFonts w:ascii="Times New Roman" w:hAnsi="Times New Roman" w:cs="Times New Roman"/>
          <w:b/>
          <w:color w:val="000000" w:themeColor="text1"/>
          <w:sz w:val="28"/>
          <w:szCs w:val="28"/>
        </w:rPr>
        <w:t>а</w:t>
      </w:r>
      <w:r w:rsidRPr="00082F3D">
        <w:rPr>
          <w:rFonts w:ascii="Times New Roman" w:hAnsi="Times New Roman" w:cs="Times New Roman"/>
          <w:b/>
          <w:color w:val="000000" w:themeColor="text1"/>
          <w:sz w:val="28"/>
          <w:szCs w:val="28"/>
        </w:rPr>
        <w:t>явок</w:t>
      </w:r>
    </w:p>
    <w:p w14:paraId="2C17741B" w14:textId="6F0E6941" w:rsidR="005E1BB9" w:rsidRPr="00873BEC" w:rsidRDefault="005E1BB9" w:rsidP="005E1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xml:space="preserve">Рассмотрение заявок на Конкурсной комиссии проводится в течение </w:t>
      </w:r>
      <w:r>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35 (тридцати пяти) рабочих дней с даты окончания приема заявок и документов. В случае если заседания Конкурсной комиссии проводятся в течение нескольких дней, датой окончания проведения Конкурса считается дата последнего заседания Конкурсной комиссии.</w:t>
      </w:r>
    </w:p>
    <w:p w14:paraId="1ACE0455" w14:textId="44E71053" w:rsidR="005E1BB9" w:rsidRPr="00873BEC" w:rsidRDefault="005E1BB9" w:rsidP="005E1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Конкурсная комиссия определяет победителей Конкурса по результатам рассмотрения заявки и документов, представленных Заявителем, исходя</w:t>
      </w:r>
      <w:r>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 xml:space="preserve"> из критериев, указанных в таблицах №№ 1,</w:t>
      </w:r>
      <w:r>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2, а также защиты проекта лично Заявителем на заседании Конкурсной комиссии в форме очного собеседования или видео-конференц-связи.</w:t>
      </w:r>
    </w:p>
    <w:p w14:paraId="6C88E028" w14:textId="77777777" w:rsidR="005E1BB9" w:rsidRPr="00873BEC" w:rsidRDefault="005E1BB9" w:rsidP="005E1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Конкурсная комиссия отклоняет заявку Заявителя в случае:</w:t>
      </w:r>
    </w:p>
    <w:p w14:paraId="5A0C4FF9" w14:textId="68ADF854" w:rsidR="005E1BB9" w:rsidRPr="00873BEC" w:rsidRDefault="005E1BB9" w:rsidP="005E1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выявления фактов несоответствия сведений, изложенных в заявке</w:t>
      </w:r>
      <w:r>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 xml:space="preserve"> и документах, действительности, а также несоответствия Заявителя либо документов, приложенных к заявке, </w:t>
      </w:r>
      <w:r w:rsidRPr="009324DB">
        <w:rPr>
          <w:rFonts w:ascii="Times New Roman" w:eastAsia="Times New Roman" w:hAnsi="Times New Roman" w:cs="Times New Roman"/>
          <w:sz w:val="28"/>
          <w:szCs w:val="28"/>
          <w:lang w:eastAsia="ru-RU"/>
        </w:rPr>
        <w:t>требованиям, предъявляемы</w:t>
      </w:r>
      <w:r w:rsidR="009324DB" w:rsidRPr="009324DB">
        <w:rPr>
          <w:rFonts w:ascii="Times New Roman" w:eastAsia="Times New Roman" w:hAnsi="Times New Roman" w:cs="Times New Roman"/>
          <w:sz w:val="28"/>
          <w:szCs w:val="28"/>
          <w:lang w:eastAsia="ru-RU"/>
        </w:rPr>
        <w:t>м</w:t>
      </w:r>
      <w:r w:rsidRPr="009324DB">
        <w:rPr>
          <w:rFonts w:ascii="Times New Roman" w:eastAsia="Times New Roman" w:hAnsi="Times New Roman" w:cs="Times New Roman"/>
          <w:sz w:val="28"/>
          <w:szCs w:val="28"/>
          <w:lang w:eastAsia="ru-RU"/>
        </w:rPr>
        <w:t xml:space="preserve"> к Заявителю;</w:t>
      </w:r>
      <w:bookmarkStart w:id="0" w:name="_GoBack"/>
      <w:bookmarkEnd w:id="0"/>
    </w:p>
    <w:p w14:paraId="2564DD99" w14:textId="77777777" w:rsidR="005E1BB9" w:rsidRPr="00873BEC" w:rsidRDefault="005E1BB9" w:rsidP="005E1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xml:space="preserve">- наличия нулевого балла по одному из основных критериев, указанных </w:t>
      </w:r>
      <w:r>
        <w:rPr>
          <w:rFonts w:ascii="Times New Roman" w:eastAsia="Times New Roman" w:hAnsi="Times New Roman" w:cs="Times New Roman"/>
          <w:sz w:val="28"/>
          <w:szCs w:val="28"/>
          <w:lang w:eastAsia="ru-RU"/>
        </w:rPr>
        <w:t xml:space="preserve">    </w:t>
      </w:r>
      <w:r w:rsidRPr="00873BEC">
        <w:rPr>
          <w:rFonts w:ascii="Times New Roman" w:eastAsia="Times New Roman" w:hAnsi="Times New Roman" w:cs="Times New Roman"/>
          <w:sz w:val="28"/>
          <w:szCs w:val="28"/>
          <w:lang w:eastAsia="ru-RU"/>
        </w:rPr>
        <w:t>в таблице № 1 настоящего пункта, в том числе и в случае, если данный факт обнаружился в результате выявления ошибок и неточностей при рассмотрении проекта (бизнес-плана) Заявителя;</w:t>
      </w:r>
    </w:p>
    <w:p w14:paraId="2995FDC4" w14:textId="77777777" w:rsidR="005E1BB9" w:rsidRPr="00873BEC" w:rsidRDefault="005E1BB9" w:rsidP="005E1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3BEC">
        <w:rPr>
          <w:rFonts w:ascii="Times New Roman" w:eastAsia="Times New Roman" w:hAnsi="Times New Roman" w:cs="Times New Roman"/>
          <w:sz w:val="28"/>
          <w:szCs w:val="28"/>
          <w:lang w:eastAsia="ru-RU"/>
        </w:rPr>
        <w:t>- неявки Заявителя на защиту проекта в установленное время.</w:t>
      </w:r>
    </w:p>
    <w:p w14:paraId="7A35111B" w14:textId="77777777" w:rsidR="005E1BB9" w:rsidRPr="00920AD1" w:rsidRDefault="005E1BB9" w:rsidP="005E1B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Решение Конкурсной комиссии по вопросу соответствия каждой конкурсной заявки требованиям Порядка оформляется протоколом заседания Конкурсной комиссии.</w:t>
      </w:r>
    </w:p>
    <w:p w14:paraId="60DE2EE5" w14:textId="77777777" w:rsidR="005E1BB9" w:rsidRDefault="005E1BB9" w:rsidP="005E1B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Для определения победителей конкурса устанавливаются следующие основные и дополнительные критерии оценки заявок, документов и в целом всего проекта:</w:t>
      </w:r>
    </w:p>
    <w:p w14:paraId="4A76B4B0" w14:textId="77777777" w:rsidR="005E1BB9" w:rsidRDefault="005E1BB9" w:rsidP="005E1BB9">
      <w:pPr>
        <w:widowControl w:val="0"/>
        <w:autoSpaceDE w:val="0"/>
        <w:autoSpaceDN w:val="0"/>
        <w:adjustRightInd w:val="0"/>
        <w:spacing w:after="0" w:line="240" w:lineRule="auto"/>
        <w:ind w:left="7068" w:firstLine="720"/>
        <w:jc w:val="center"/>
        <w:rPr>
          <w:rFonts w:ascii="Times New Roman" w:eastAsia="Times New Roman" w:hAnsi="Times New Roman" w:cs="Times New Roman"/>
          <w:color w:val="000000" w:themeColor="text1"/>
          <w:sz w:val="28"/>
          <w:szCs w:val="28"/>
          <w:lang w:eastAsia="ru-RU"/>
        </w:rPr>
      </w:pPr>
      <w:r w:rsidRPr="00185BEB">
        <w:rPr>
          <w:rFonts w:ascii="Times New Roman" w:eastAsia="Times New Roman" w:hAnsi="Times New Roman" w:cs="Times New Roman"/>
          <w:color w:val="000000" w:themeColor="text1"/>
          <w:sz w:val="28"/>
          <w:szCs w:val="28"/>
          <w:lang w:eastAsia="ru-RU"/>
        </w:rPr>
        <w:t>Таблица № 1</w:t>
      </w:r>
    </w:p>
    <w:p w14:paraId="46FE9708" w14:textId="77777777" w:rsidR="005E1BB9" w:rsidRPr="00185BEB" w:rsidRDefault="005E1BB9" w:rsidP="005E1BB9">
      <w:pPr>
        <w:widowControl w:val="0"/>
        <w:autoSpaceDE w:val="0"/>
        <w:autoSpaceDN w:val="0"/>
        <w:adjustRightInd w:val="0"/>
        <w:spacing w:after="0" w:line="240" w:lineRule="auto"/>
        <w:ind w:left="7068" w:firstLine="720"/>
        <w:jc w:val="center"/>
        <w:rPr>
          <w:rFonts w:ascii="Times New Roman" w:eastAsia="Times New Roman" w:hAnsi="Times New Roman" w:cs="Times New Roman"/>
          <w:color w:val="000000" w:themeColor="text1"/>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2409"/>
        <w:gridCol w:w="709"/>
        <w:gridCol w:w="1276"/>
        <w:gridCol w:w="850"/>
        <w:gridCol w:w="709"/>
        <w:gridCol w:w="709"/>
        <w:gridCol w:w="567"/>
        <w:gridCol w:w="1134"/>
        <w:gridCol w:w="850"/>
      </w:tblGrid>
      <w:tr w:rsidR="005E1BB9" w:rsidRPr="00185BEB" w14:paraId="41F992C7" w14:textId="77777777" w:rsidTr="0032326A">
        <w:tc>
          <w:tcPr>
            <w:tcW w:w="488" w:type="dxa"/>
            <w:vMerge w:val="restart"/>
            <w:tcBorders>
              <w:top w:val="single" w:sz="4" w:space="0" w:color="auto"/>
              <w:left w:val="single" w:sz="4" w:space="0" w:color="auto"/>
              <w:bottom w:val="single" w:sz="4" w:space="0" w:color="auto"/>
              <w:right w:val="single" w:sz="4" w:space="0" w:color="auto"/>
            </w:tcBorders>
          </w:tcPr>
          <w:p w14:paraId="2FF4F89B"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w:t>
            </w:r>
            <w:r w:rsidRPr="00185BEB">
              <w:rPr>
                <w:rFonts w:ascii="Times New Roman" w:eastAsiaTheme="minorEastAsia" w:hAnsi="Times New Roman" w:cs="Times New Roman"/>
                <w:sz w:val="26"/>
                <w:szCs w:val="26"/>
                <w:lang w:eastAsia="ru-RU"/>
              </w:rPr>
              <w:t xml:space="preserve"> п/п</w:t>
            </w:r>
          </w:p>
        </w:tc>
        <w:tc>
          <w:tcPr>
            <w:tcW w:w="2409" w:type="dxa"/>
            <w:vMerge w:val="restart"/>
            <w:tcBorders>
              <w:top w:val="single" w:sz="4" w:space="0" w:color="auto"/>
              <w:left w:val="single" w:sz="4" w:space="0" w:color="auto"/>
              <w:bottom w:val="single" w:sz="4" w:space="0" w:color="auto"/>
              <w:right w:val="single" w:sz="4" w:space="0" w:color="auto"/>
            </w:tcBorders>
          </w:tcPr>
          <w:p w14:paraId="63F21EF5"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Наименование основного критерия</w:t>
            </w:r>
          </w:p>
        </w:tc>
        <w:tc>
          <w:tcPr>
            <w:tcW w:w="709" w:type="dxa"/>
            <w:vMerge w:val="restart"/>
            <w:tcBorders>
              <w:top w:val="single" w:sz="4" w:space="0" w:color="auto"/>
              <w:left w:val="single" w:sz="4" w:space="0" w:color="auto"/>
              <w:bottom w:val="single" w:sz="4" w:space="0" w:color="auto"/>
              <w:right w:val="single" w:sz="4" w:space="0" w:color="auto"/>
            </w:tcBorders>
          </w:tcPr>
          <w:p w14:paraId="5A9A963D"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Ед. изм.</w:t>
            </w:r>
          </w:p>
        </w:tc>
        <w:tc>
          <w:tcPr>
            <w:tcW w:w="1276" w:type="dxa"/>
            <w:vMerge w:val="restart"/>
            <w:tcBorders>
              <w:top w:val="single" w:sz="4" w:space="0" w:color="auto"/>
              <w:left w:val="single" w:sz="4" w:space="0" w:color="auto"/>
              <w:bottom w:val="single" w:sz="4" w:space="0" w:color="auto"/>
              <w:right w:val="single" w:sz="4" w:space="0" w:color="auto"/>
            </w:tcBorders>
          </w:tcPr>
          <w:p w14:paraId="778277F3" w14:textId="77777777" w:rsidR="005E1BB9" w:rsidRPr="00185BEB" w:rsidRDefault="005E1BB9" w:rsidP="0032326A">
            <w:pPr>
              <w:widowControl w:val="0"/>
              <w:autoSpaceDE w:val="0"/>
              <w:autoSpaceDN w:val="0"/>
              <w:adjustRightInd w:val="0"/>
              <w:spacing w:after="0" w:line="240" w:lineRule="auto"/>
              <w:ind w:left="-55" w:right="-65"/>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Удельный вес показателя</w:t>
            </w:r>
          </w:p>
        </w:tc>
        <w:tc>
          <w:tcPr>
            <w:tcW w:w="4819" w:type="dxa"/>
            <w:gridSpan w:val="6"/>
            <w:tcBorders>
              <w:top w:val="single" w:sz="4" w:space="0" w:color="auto"/>
              <w:left w:val="single" w:sz="4" w:space="0" w:color="auto"/>
              <w:bottom w:val="single" w:sz="4" w:space="0" w:color="auto"/>
              <w:right w:val="single" w:sz="4" w:space="0" w:color="auto"/>
            </w:tcBorders>
          </w:tcPr>
          <w:p w14:paraId="6340A4A7"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Баллы</w:t>
            </w:r>
          </w:p>
        </w:tc>
      </w:tr>
      <w:tr w:rsidR="005E1BB9" w:rsidRPr="00185BEB" w14:paraId="50F38464" w14:textId="77777777" w:rsidTr="0032326A">
        <w:trPr>
          <w:trHeight w:val="888"/>
        </w:trPr>
        <w:tc>
          <w:tcPr>
            <w:tcW w:w="488" w:type="dxa"/>
            <w:vMerge/>
            <w:tcBorders>
              <w:top w:val="single" w:sz="4" w:space="0" w:color="auto"/>
              <w:left w:val="single" w:sz="4" w:space="0" w:color="auto"/>
              <w:bottom w:val="single" w:sz="4" w:space="0" w:color="auto"/>
              <w:right w:val="single" w:sz="4" w:space="0" w:color="auto"/>
            </w:tcBorders>
          </w:tcPr>
          <w:p w14:paraId="1E80BCA7"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4BD21CC6"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56A6A40E"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1F09BE7"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tcPr>
          <w:p w14:paraId="1699DF90"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14:paraId="28224758"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tcPr>
          <w:p w14:paraId="4617BF01"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tcPr>
          <w:p w14:paraId="18076082"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tcPr>
          <w:p w14:paraId="6E0E1837"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14:paraId="2DC3F0A4"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5</w:t>
            </w:r>
          </w:p>
        </w:tc>
      </w:tr>
      <w:tr w:rsidR="005E1BB9" w:rsidRPr="00185BEB" w14:paraId="244866A9" w14:textId="77777777" w:rsidTr="0032326A">
        <w:trPr>
          <w:trHeight w:val="820"/>
        </w:trPr>
        <w:tc>
          <w:tcPr>
            <w:tcW w:w="488" w:type="dxa"/>
            <w:tcBorders>
              <w:top w:val="single" w:sz="4" w:space="0" w:color="auto"/>
              <w:left w:val="single" w:sz="4" w:space="0" w:color="auto"/>
              <w:bottom w:val="single" w:sz="4" w:space="0" w:color="auto"/>
              <w:right w:val="single" w:sz="4" w:space="0" w:color="auto"/>
            </w:tcBorders>
          </w:tcPr>
          <w:p w14:paraId="292ACEBD"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1</w:t>
            </w:r>
          </w:p>
        </w:tc>
        <w:tc>
          <w:tcPr>
            <w:tcW w:w="2409" w:type="dxa"/>
            <w:tcBorders>
              <w:top w:val="single" w:sz="4" w:space="0" w:color="auto"/>
              <w:left w:val="single" w:sz="4" w:space="0" w:color="auto"/>
              <w:bottom w:val="single" w:sz="4" w:space="0" w:color="auto"/>
              <w:right w:val="single" w:sz="4" w:space="0" w:color="auto"/>
            </w:tcBorders>
          </w:tcPr>
          <w:p w14:paraId="6A49FD67" w14:textId="77777777" w:rsidR="005E1BB9" w:rsidRDefault="005E1BB9" w:rsidP="0032326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Количество создаваемых рабочих мест</w:t>
            </w:r>
          </w:p>
          <w:p w14:paraId="338B42F8" w14:textId="77777777" w:rsidR="005E1BB9" w:rsidRPr="00185BEB" w:rsidRDefault="005E1BB9" w:rsidP="0032326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14:paraId="0094E2D0"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Ед.</w:t>
            </w:r>
          </w:p>
        </w:tc>
        <w:tc>
          <w:tcPr>
            <w:tcW w:w="1276" w:type="dxa"/>
            <w:tcBorders>
              <w:top w:val="single" w:sz="4" w:space="0" w:color="auto"/>
              <w:left w:val="single" w:sz="4" w:space="0" w:color="auto"/>
              <w:bottom w:val="single" w:sz="4" w:space="0" w:color="auto"/>
              <w:right w:val="single" w:sz="4" w:space="0" w:color="auto"/>
            </w:tcBorders>
          </w:tcPr>
          <w:p w14:paraId="6ACDFA4F"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850" w:type="dxa"/>
            <w:tcBorders>
              <w:top w:val="single" w:sz="4" w:space="0" w:color="auto"/>
              <w:left w:val="single" w:sz="4" w:space="0" w:color="auto"/>
              <w:bottom w:val="single" w:sz="4" w:space="0" w:color="auto"/>
              <w:right w:val="single" w:sz="4" w:space="0" w:color="auto"/>
            </w:tcBorders>
          </w:tcPr>
          <w:p w14:paraId="7B08A41B" w14:textId="77777777" w:rsidR="005E1BB9" w:rsidRPr="00672458"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tcPr>
          <w:p w14:paraId="158C8B7C" w14:textId="77777777" w:rsidR="005E1BB9" w:rsidRPr="00672458"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tcPr>
          <w:p w14:paraId="4BCFC846" w14:textId="77777777" w:rsidR="005E1BB9" w:rsidRPr="00672458"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2</w:t>
            </w:r>
          </w:p>
        </w:tc>
        <w:tc>
          <w:tcPr>
            <w:tcW w:w="567" w:type="dxa"/>
            <w:tcBorders>
              <w:top w:val="single" w:sz="4" w:space="0" w:color="auto"/>
              <w:left w:val="single" w:sz="4" w:space="0" w:color="auto"/>
              <w:bottom w:val="single" w:sz="4" w:space="0" w:color="auto"/>
              <w:right w:val="single" w:sz="4" w:space="0" w:color="auto"/>
            </w:tcBorders>
          </w:tcPr>
          <w:p w14:paraId="7D42F00E" w14:textId="77777777" w:rsidR="005E1BB9" w:rsidRPr="00672458"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3</w:t>
            </w:r>
          </w:p>
        </w:tc>
        <w:tc>
          <w:tcPr>
            <w:tcW w:w="1134" w:type="dxa"/>
            <w:tcBorders>
              <w:top w:val="single" w:sz="4" w:space="0" w:color="auto"/>
              <w:left w:val="single" w:sz="4" w:space="0" w:color="auto"/>
              <w:bottom w:val="single" w:sz="4" w:space="0" w:color="auto"/>
              <w:right w:val="single" w:sz="4" w:space="0" w:color="auto"/>
            </w:tcBorders>
          </w:tcPr>
          <w:p w14:paraId="0C0045FF" w14:textId="77777777" w:rsidR="005E1BB9" w:rsidRPr="00672458"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4</w:t>
            </w:r>
          </w:p>
        </w:tc>
        <w:tc>
          <w:tcPr>
            <w:tcW w:w="850" w:type="dxa"/>
            <w:tcBorders>
              <w:top w:val="single" w:sz="4" w:space="0" w:color="auto"/>
              <w:left w:val="single" w:sz="4" w:space="0" w:color="auto"/>
              <w:bottom w:val="single" w:sz="4" w:space="0" w:color="auto"/>
              <w:right w:val="single" w:sz="4" w:space="0" w:color="auto"/>
            </w:tcBorders>
          </w:tcPr>
          <w:p w14:paraId="0189F353" w14:textId="77777777" w:rsidR="005E1BB9" w:rsidRPr="00672458"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672458">
              <w:rPr>
                <w:rFonts w:ascii="Times New Roman" w:eastAsiaTheme="minorEastAsia" w:hAnsi="Times New Roman" w:cs="Times New Roman"/>
                <w:sz w:val="26"/>
                <w:szCs w:val="26"/>
                <w:lang w:eastAsia="ru-RU"/>
              </w:rPr>
              <w:t>5 и более</w:t>
            </w:r>
          </w:p>
        </w:tc>
      </w:tr>
      <w:tr w:rsidR="005E1BB9" w:rsidRPr="00185BEB" w14:paraId="184C2E99" w14:textId="77777777" w:rsidTr="0032326A">
        <w:tc>
          <w:tcPr>
            <w:tcW w:w="488" w:type="dxa"/>
            <w:tcBorders>
              <w:top w:val="single" w:sz="4" w:space="0" w:color="auto"/>
              <w:left w:val="single" w:sz="4" w:space="0" w:color="auto"/>
              <w:bottom w:val="single" w:sz="4" w:space="0" w:color="auto"/>
              <w:right w:val="single" w:sz="4" w:space="0" w:color="auto"/>
            </w:tcBorders>
          </w:tcPr>
          <w:p w14:paraId="08971B05"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p>
        </w:tc>
        <w:tc>
          <w:tcPr>
            <w:tcW w:w="2409" w:type="dxa"/>
            <w:tcBorders>
              <w:top w:val="single" w:sz="4" w:space="0" w:color="auto"/>
              <w:left w:val="single" w:sz="4" w:space="0" w:color="auto"/>
              <w:bottom w:val="single" w:sz="4" w:space="0" w:color="auto"/>
              <w:right w:val="single" w:sz="4" w:space="0" w:color="auto"/>
            </w:tcBorders>
          </w:tcPr>
          <w:p w14:paraId="27F44195" w14:textId="77777777" w:rsidR="005E1BB9" w:rsidRPr="00185BEB" w:rsidRDefault="005E1BB9" w:rsidP="0032326A">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Прирост объема произведенной продукции в году получения Гранта к предшествующему году</w:t>
            </w:r>
          </w:p>
        </w:tc>
        <w:tc>
          <w:tcPr>
            <w:tcW w:w="709" w:type="dxa"/>
            <w:tcBorders>
              <w:top w:val="single" w:sz="4" w:space="0" w:color="auto"/>
              <w:left w:val="single" w:sz="4" w:space="0" w:color="auto"/>
              <w:bottom w:val="single" w:sz="4" w:space="0" w:color="auto"/>
              <w:right w:val="single" w:sz="4" w:space="0" w:color="auto"/>
            </w:tcBorders>
          </w:tcPr>
          <w:p w14:paraId="6084BA25"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14:paraId="5EE60ACC"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850" w:type="dxa"/>
            <w:tcBorders>
              <w:top w:val="single" w:sz="4" w:space="0" w:color="auto"/>
              <w:left w:val="single" w:sz="4" w:space="0" w:color="auto"/>
              <w:bottom w:val="single" w:sz="4" w:space="0" w:color="auto"/>
              <w:right w:val="single" w:sz="4" w:space="0" w:color="auto"/>
            </w:tcBorders>
          </w:tcPr>
          <w:p w14:paraId="3A39251A"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 xml:space="preserve">Менее </w:t>
            </w:r>
            <w:r>
              <w:rPr>
                <w:rFonts w:ascii="Times New Roman" w:eastAsiaTheme="minorEastAsia" w:hAnsi="Times New Roman" w:cs="Times New Roman"/>
                <w:sz w:val="26"/>
                <w:szCs w:val="26"/>
                <w:lang w:eastAsia="ru-RU"/>
              </w:rPr>
              <w:t>8</w:t>
            </w:r>
          </w:p>
        </w:tc>
        <w:tc>
          <w:tcPr>
            <w:tcW w:w="709" w:type="dxa"/>
            <w:tcBorders>
              <w:top w:val="single" w:sz="4" w:space="0" w:color="auto"/>
              <w:left w:val="single" w:sz="4" w:space="0" w:color="auto"/>
              <w:bottom w:val="single" w:sz="4" w:space="0" w:color="auto"/>
              <w:right w:val="single" w:sz="4" w:space="0" w:color="auto"/>
            </w:tcBorders>
          </w:tcPr>
          <w:p w14:paraId="3D512CFD"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8-</w:t>
            </w:r>
            <w:r w:rsidRPr="00185BEB">
              <w:rPr>
                <w:rFonts w:ascii="Times New Roman" w:eastAsiaTheme="minorEastAsia" w:hAnsi="Times New Roman" w:cs="Times New Roman"/>
                <w:sz w:val="26"/>
                <w:szCs w:val="26"/>
                <w:lang w:eastAsia="ru-RU"/>
              </w:rPr>
              <w:t>10</w:t>
            </w:r>
          </w:p>
        </w:tc>
        <w:tc>
          <w:tcPr>
            <w:tcW w:w="709" w:type="dxa"/>
            <w:tcBorders>
              <w:top w:val="single" w:sz="4" w:space="0" w:color="auto"/>
              <w:left w:val="single" w:sz="4" w:space="0" w:color="auto"/>
              <w:bottom w:val="single" w:sz="4" w:space="0" w:color="auto"/>
              <w:right w:val="single" w:sz="4" w:space="0" w:color="auto"/>
            </w:tcBorders>
          </w:tcPr>
          <w:p w14:paraId="6E37B7E1"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10 - 20</w:t>
            </w:r>
          </w:p>
        </w:tc>
        <w:tc>
          <w:tcPr>
            <w:tcW w:w="567" w:type="dxa"/>
            <w:tcBorders>
              <w:top w:val="single" w:sz="4" w:space="0" w:color="auto"/>
              <w:left w:val="single" w:sz="4" w:space="0" w:color="auto"/>
              <w:bottom w:val="single" w:sz="4" w:space="0" w:color="auto"/>
              <w:right w:val="single" w:sz="4" w:space="0" w:color="auto"/>
            </w:tcBorders>
          </w:tcPr>
          <w:p w14:paraId="6A962800"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20 - 30</w:t>
            </w:r>
          </w:p>
        </w:tc>
        <w:tc>
          <w:tcPr>
            <w:tcW w:w="1134" w:type="dxa"/>
            <w:tcBorders>
              <w:top w:val="single" w:sz="4" w:space="0" w:color="auto"/>
              <w:left w:val="single" w:sz="4" w:space="0" w:color="auto"/>
              <w:bottom w:val="single" w:sz="4" w:space="0" w:color="auto"/>
              <w:right w:val="single" w:sz="4" w:space="0" w:color="auto"/>
            </w:tcBorders>
          </w:tcPr>
          <w:p w14:paraId="1D896C2E"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30 - 40</w:t>
            </w:r>
          </w:p>
        </w:tc>
        <w:tc>
          <w:tcPr>
            <w:tcW w:w="850" w:type="dxa"/>
            <w:tcBorders>
              <w:top w:val="single" w:sz="4" w:space="0" w:color="auto"/>
              <w:left w:val="single" w:sz="4" w:space="0" w:color="auto"/>
              <w:bottom w:val="single" w:sz="4" w:space="0" w:color="auto"/>
              <w:right w:val="single" w:sz="4" w:space="0" w:color="auto"/>
            </w:tcBorders>
          </w:tcPr>
          <w:p w14:paraId="3C07F4EE" w14:textId="77777777" w:rsidR="005E1BB9" w:rsidRPr="00185BEB" w:rsidRDefault="005E1BB9" w:rsidP="0032326A">
            <w:pPr>
              <w:widowControl w:val="0"/>
              <w:autoSpaceDE w:val="0"/>
              <w:autoSpaceDN w:val="0"/>
              <w:adjustRightInd w:val="0"/>
              <w:spacing w:after="0" w:line="240" w:lineRule="auto"/>
              <w:ind w:left="-60" w:right="-68"/>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Свыше 40</w:t>
            </w:r>
          </w:p>
        </w:tc>
      </w:tr>
    </w:tbl>
    <w:p w14:paraId="3DA458C8" w14:textId="77777777" w:rsidR="005E1BB9" w:rsidRDefault="005E1BB9" w:rsidP="005E1BB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64EEC925" w14:textId="0130FBBC" w:rsidR="005E1BB9" w:rsidRDefault="005E1BB9" w:rsidP="005E1B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20A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0AD1">
        <w:rPr>
          <w:rFonts w:ascii="Times New Roman" w:eastAsia="Times New Roman" w:hAnsi="Times New Roman" w:cs="Times New Roman"/>
          <w:sz w:val="28"/>
          <w:szCs w:val="28"/>
          <w:lang w:eastAsia="ru-RU"/>
        </w:rPr>
        <w:t xml:space="preserve">         Таблица № 2</w:t>
      </w:r>
    </w:p>
    <w:p w14:paraId="37A77E23" w14:textId="77777777" w:rsidR="005E1BB9" w:rsidRPr="00920AD1" w:rsidRDefault="005E1BB9" w:rsidP="005E1BB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5386"/>
        <w:gridCol w:w="1701"/>
        <w:gridCol w:w="2126"/>
      </w:tblGrid>
      <w:tr w:rsidR="005E1BB9" w:rsidRPr="00E13571" w14:paraId="4C345BBD" w14:textId="77777777" w:rsidTr="0032326A">
        <w:tc>
          <w:tcPr>
            <w:tcW w:w="488" w:type="dxa"/>
            <w:tcBorders>
              <w:top w:val="single" w:sz="4" w:space="0" w:color="auto"/>
              <w:left w:val="single" w:sz="4" w:space="0" w:color="auto"/>
              <w:bottom w:val="single" w:sz="4" w:space="0" w:color="auto"/>
              <w:right w:val="single" w:sz="4" w:space="0" w:color="auto"/>
            </w:tcBorders>
          </w:tcPr>
          <w:p w14:paraId="2F9EDB8F"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Pr="00185BEB">
              <w:rPr>
                <w:rFonts w:ascii="Times New Roman" w:eastAsiaTheme="minorEastAsia" w:hAnsi="Times New Roman" w:cs="Times New Roman"/>
                <w:sz w:val="26"/>
                <w:szCs w:val="26"/>
                <w:lang w:eastAsia="ru-RU"/>
              </w:rPr>
              <w:t>п/п</w:t>
            </w:r>
          </w:p>
        </w:tc>
        <w:tc>
          <w:tcPr>
            <w:tcW w:w="5386" w:type="dxa"/>
            <w:tcBorders>
              <w:top w:val="single" w:sz="4" w:space="0" w:color="auto"/>
              <w:left w:val="single" w:sz="4" w:space="0" w:color="auto"/>
              <w:bottom w:val="single" w:sz="4" w:space="0" w:color="auto"/>
              <w:right w:val="single" w:sz="4" w:space="0" w:color="auto"/>
            </w:tcBorders>
          </w:tcPr>
          <w:p w14:paraId="7C59C46D"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Наименование дополнительного критерия</w:t>
            </w:r>
          </w:p>
        </w:tc>
        <w:tc>
          <w:tcPr>
            <w:tcW w:w="1701" w:type="dxa"/>
            <w:tcBorders>
              <w:top w:val="single" w:sz="4" w:space="0" w:color="auto"/>
              <w:left w:val="single" w:sz="4" w:space="0" w:color="auto"/>
              <w:bottom w:val="single" w:sz="4" w:space="0" w:color="auto"/>
              <w:right w:val="single" w:sz="4" w:space="0" w:color="auto"/>
            </w:tcBorders>
          </w:tcPr>
          <w:p w14:paraId="1AD194BE"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Удельный вес показателя</w:t>
            </w:r>
          </w:p>
        </w:tc>
        <w:tc>
          <w:tcPr>
            <w:tcW w:w="2126" w:type="dxa"/>
            <w:tcBorders>
              <w:top w:val="single" w:sz="4" w:space="0" w:color="auto"/>
              <w:left w:val="single" w:sz="4" w:space="0" w:color="auto"/>
              <w:bottom w:val="single" w:sz="4" w:space="0" w:color="auto"/>
              <w:right w:val="single" w:sz="4" w:space="0" w:color="auto"/>
            </w:tcBorders>
          </w:tcPr>
          <w:p w14:paraId="7543FC56"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Количество дополнительных баллов</w:t>
            </w:r>
          </w:p>
        </w:tc>
      </w:tr>
      <w:tr w:rsidR="005E1BB9" w:rsidRPr="00E13571" w14:paraId="3C2EFD05" w14:textId="77777777" w:rsidTr="0032326A">
        <w:tc>
          <w:tcPr>
            <w:tcW w:w="488" w:type="dxa"/>
            <w:tcBorders>
              <w:top w:val="single" w:sz="4" w:space="0" w:color="auto"/>
              <w:left w:val="single" w:sz="4" w:space="0" w:color="auto"/>
              <w:bottom w:val="single" w:sz="4" w:space="0" w:color="auto"/>
              <w:right w:val="single" w:sz="4" w:space="0" w:color="auto"/>
            </w:tcBorders>
          </w:tcPr>
          <w:p w14:paraId="0FB03C1A"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5386" w:type="dxa"/>
            <w:tcBorders>
              <w:top w:val="single" w:sz="4" w:space="0" w:color="auto"/>
              <w:left w:val="single" w:sz="4" w:space="0" w:color="auto"/>
              <w:bottom w:val="single" w:sz="4" w:space="0" w:color="auto"/>
              <w:right w:val="single" w:sz="4" w:space="0" w:color="auto"/>
            </w:tcBorders>
            <w:vAlign w:val="bottom"/>
          </w:tcPr>
          <w:p w14:paraId="76FE6E22" w14:textId="77777777" w:rsidR="005E1BB9" w:rsidRPr="00185BEB" w:rsidRDefault="005E1BB9" w:rsidP="0032326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Проект предусматривает реализацию органической продукции</w:t>
            </w:r>
          </w:p>
        </w:tc>
        <w:tc>
          <w:tcPr>
            <w:tcW w:w="1701" w:type="dxa"/>
            <w:tcBorders>
              <w:top w:val="single" w:sz="4" w:space="0" w:color="auto"/>
              <w:left w:val="single" w:sz="4" w:space="0" w:color="auto"/>
              <w:bottom w:val="single" w:sz="4" w:space="0" w:color="auto"/>
              <w:right w:val="single" w:sz="4" w:space="0" w:color="auto"/>
            </w:tcBorders>
          </w:tcPr>
          <w:p w14:paraId="19D41380"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7FCE6CB"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r>
      <w:tr w:rsidR="005E1BB9" w:rsidRPr="00E13571" w14:paraId="1F7F59EB" w14:textId="77777777" w:rsidTr="0032326A">
        <w:tc>
          <w:tcPr>
            <w:tcW w:w="488" w:type="dxa"/>
            <w:tcBorders>
              <w:top w:val="single" w:sz="4" w:space="0" w:color="auto"/>
              <w:left w:val="single" w:sz="4" w:space="0" w:color="auto"/>
              <w:bottom w:val="single" w:sz="4" w:space="0" w:color="auto"/>
              <w:right w:val="single" w:sz="4" w:space="0" w:color="auto"/>
            </w:tcBorders>
          </w:tcPr>
          <w:p w14:paraId="71AD8BA5"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2</w:t>
            </w:r>
          </w:p>
        </w:tc>
        <w:tc>
          <w:tcPr>
            <w:tcW w:w="5386" w:type="dxa"/>
            <w:tcBorders>
              <w:top w:val="single" w:sz="4" w:space="0" w:color="auto"/>
              <w:left w:val="single" w:sz="4" w:space="0" w:color="auto"/>
              <w:bottom w:val="single" w:sz="4" w:space="0" w:color="auto"/>
              <w:right w:val="single" w:sz="4" w:space="0" w:color="auto"/>
            </w:tcBorders>
            <w:vAlign w:val="bottom"/>
          </w:tcPr>
          <w:p w14:paraId="29D32930" w14:textId="77777777" w:rsidR="005E1BB9" w:rsidRPr="00185BEB" w:rsidRDefault="005E1BB9" w:rsidP="0032326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Министерства</w:t>
            </w:r>
          </w:p>
        </w:tc>
        <w:tc>
          <w:tcPr>
            <w:tcW w:w="1701" w:type="dxa"/>
            <w:tcBorders>
              <w:top w:val="single" w:sz="4" w:space="0" w:color="auto"/>
              <w:left w:val="single" w:sz="4" w:space="0" w:color="auto"/>
              <w:bottom w:val="single" w:sz="4" w:space="0" w:color="auto"/>
              <w:right w:val="single" w:sz="4" w:space="0" w:color="auto"/>
            </w:tcBorders>
          </w:tcPr>
          <w:p w14:paraId="24DFCDD0"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38E760F5"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3</w:t>
            </w:r>
          </w:p>
        </w:tc>
      </w:tr>
      <w:tr w:rsidR="005E1BB9" w:rsidRPr="00E13571" w14:paraId="0C107D7F" w14:textId="77777777" w:rsidTr="0032326A">
        <w:tc>
          <w:tcPr>
            <w:tcW w:w="488" w:type="dxa"/>
            <w:tcBorders>
              <w:top w:val="single" w:sz="4" w:space="0" w:color="auto"/>
              <w:left w:val="single" w:sz="4" w:space="0" w:color="auto"/>
              <w:bottom w:val="single" w:sz="4" w:space="0" w:color="auto"/>
              <w:right w:val="single" w:sz="4" w:space="0" w:color="auto"/>
            </w:tcBorders>
          </w:tcPr>
          <w:p w14:paraId="73A947B6"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p>
        </w:tc>
        <w:tc>
          <w:tcPr>
            <w:tcW w:w="5386" w:type="dxa"/>
            <w:tcBorders>
              <w:top w:val="single" w:sz="4" w:space="0" w:color="auto"/>
              <w:left w:val="single" w:sz="4" w:space="0" w:color="auto"/>
              <w:bottom w:val="single" w:sz="4" w:space="0" w:color="auto"/>
              <w:right w:val="single" w:sz="4" w:space="0" w:color="auto"/>
            </w:tcBorders>
            <w:vAlign w:val="bottom"/>
          </w:tcPr>
          <w:p w14:paraId="40310BED" w14:textId="77777777" w:rsidR="005E1BB9" w:rsidRPr="009B5B3A" w:rsidRDefault="005E1BB9" w:rsidP="0032326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B5B3A">
              <w:rPr>
                <w:rStyle w:val="apple-style-span"/>
                <w:rFonts w:ascii="Times New Roman" w:hAnsi="Times New Roman" w:cs="Times New Roman"/>
                <w:color w:val="000000"/>
                <w:sz w:val="26"/>
                <w:szCs w:val="26"/>
                <w:shd w:val="clear" w:color="auto" w:fill="FFFFFF"/>
              </w:rPr>
              <w:t>Проект предусматривает одно или несколько направлений развития отраслей сельского хозяйства: овощеводство, картофелеводство, молочное или мясное скотоводство</w:t>
            </w:r>
          </w:p>
        </w:tc>
        <w:tc>
          <w:tcPr>
            <w:tcW w:w="1701" w:type="dxa"/>
            <w:tcBorders>
              <w:top w:val="single" w:sz="4" w:space="0" w:color="auto"/>
              <w:left w:val="single" w:sz="4" w:space="0" w:color="auto"/>
              <w:bottom w:val="single" w:sz="4" w:space="0" w:color="auto"/>
              <w:right w:val="single" w:sz="4" w:space="0" w:color="auto"/>
            </w:tcBorders>
          </w:tcPr>
          <w:p w14:paraId="34A351D9"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887C7FF"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r>
      <w:tr w:rsidR="005E1BB9" w:rsidRPr="00E13571" w14:paraId="1E95BBD8" w14:textId="77777777" w:rsidTr="0032326A">
        <w:tc>
          <w:tcPr>
            <w:tcW w:w="488" w:type="dxa"/>
            <w:tcBorders>
              <w:top w:val="single" w:sz="4" w:space="0" w:color="auto"/>
              <w:left w:val="single" w:sz="4" w:space="0" w:color="auto"/>
              <w:bottom w:val="single" w:sz="4" w:space="0" w:color="auto"/>
              <w:right w:val="single" w:sz="4" w:space="0" w:color="auto"/>
            </w:tcBorders>
          </w:tcPr>
          <w:p w14:paraId="6FAB2E5A"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4</w:t>
            </w:r>
          </w:p>
        </w:tc>
        <w:tc>
          <w:tcPr>
            <w:tcW w:w="5386" w:type="dxa"/>
            <w:tcBorders>
              <w:top w:val="single" w:sz="4" w:space="0" w:color="auto"/>
              <w:left w:val="single" w:sz="4" w:space="0" w:color="auto"/>
              <w:bottom w:val="single" w:sz="4" w:space="0" w:color="auto"/>
              <w:right w:val="single" w:sz="4" w:space="0" w:color="auto"/>
            </w:tcBorders>
            <w:vAlign w:val="bottom"/>
          </w:tcPr>
          <w:p w14:paraId="151E1BE6" w14:textId="77777777" w:rsidR="005E1BB9" w:rsidRPr="00185BEB" w:rsidRDefault="005E1BB9" w:rsidP="0032326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Одобрение проекта более чем 50 процентами голосов членов Конкурсной комиссии от числа присутствующих на заседании</w:t>
            </w:r>
          </w:p>
        </w:tc>
        <w:tc>
          <w:tcPr>
            <w:tcW w:w="1701" w:type="dxa"/>
            <w:tcBorders>
              <w:top w:val="single" w:sz="4" w:space="0" w:color="auto"/>
              <w:left w:val="single" w:sz="4" w:space="0" w:color="auto"/>
              <w:bottom w:val="single" w:sz="4" w:space="0" w:color="auto"/>
              <w:right w:val="single" w:sz="4" w:space="0" w:color="auto"/>
            </w:tcBorders>
          </w:tcPr>
          <w:p w14:paraId="3F20FAEE"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F475506" w14:textId="77777777" w:rsidR="005E1BB9" w:rsidRPr="00185BEB" w:rsidRDefault="005E1BB9" w:rsidP="0032326A">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185BEB">
              <w:rPr>
                <w:rFonts w:ascii="Times New Roman" w:eastAsiaTheme="minorEastAsia" w:hAnsi="Times New Roman" w:cs="Times New Roman"/>
                <w:sz w:val="26"/>
                <w:szCs w:val="26"/>
                <w:lang w:eastAsia="ru-RU"/>
              </w:rPr>
              <w:t>15</w:t>
            </w:r>
          </w:p>
        </w:tc>
      </w:tr>
    </w:tbl>
    <w:p w14:paraId="71542043" w14:textId="77777777" w:rsidR="005E1BB9" w:rsidRDefault="005E1BB9" w:rsidP="005E1B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14:paraId="43669F87" w14:textId="77777777" w:rsidR="005E1BB9" w:rsidRPr="00920AD1" w:rsidRDefault="005E1BB9" w:rsidP="005E1B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14:paraId="5302DB2E" w14:textId="77777777" w:rsidR="005E1BB9" w:rsidRPr="00920AD1" w:rsidRDefault="005E1BB9" w:rsidP="005E1B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Проекты, набравшие наибольшее значение совокупного показателя, становятся победителями конкурса.</w:t>
      </w:r>
    </w:p>
    <w:p w14:paraId="2F9F4516" w14:textId="77777777" w:rsidR="005E1BB9" w:rsidRPr="00920AD1" w:rsidRDefault="005E1BB9" w:rsidP="005E1B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положением о Конкурсной комиссии.</w:t>
      </w:r>
    </w:p>
    <w:p w14:paraId="0C2A1A83" w14:textId="77777777" w:rsidR="005E1BB9" w:rsidRDefault="005E1BB9" w:rsidP="005E1B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920AD1">
        <w:rPr>
          <w:rFonts w:ascii="Times New Roman" w:eastAsia="Times New Roman" w:hAnsi="Times New Roman" w:cs="Times New Roman"/>
          <w:color w:val="000000" w:themeColor="text1"/>
          <w:sz w:val="28"/>
          <w:szCs w:val="28"/>
          <w:lang w:eastAsia="ru-RU"/>
        </w:rPr>
        <w:t>В течение 10 (десяти) рабочих дней с даты подписания протокола заседания Конкурсной комиссии Министерство готовит для внесения</w:t>
      </w:r>
      <w:r>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 xml:space="preserve"> на рассмотрение Правительства Белгородской области проект постановления Правительства Белгородской области о включении победителей конкурса </w:t>
      </w:r>
      <w:r>
        <w:rPr>
          <w:rFonts w:ascii="Times New Roman" w:eastAsia="Times New Roman" w:hAnsi="Times New Roman" w:cs="Times New Roman"/>
          <w:color w:val="000000" w:themeColor="text1"/>
          <w:sz w:val="28"/>
          <w:szCs w:val="28"/>
          <w:lang w:eastAsia="ru-RU"/>
        </w:rPr>
        <w:t xml:space="preserve">          </w:t>
      </w:r>
      <w:r w:rsidRPr="00920AD1">
        <w:rPr>
          <w:rFonts w:ascii="Times New Roman" w:eastAsia="Times New Roman" w:hAnsi="Times New Roman" w:cs="Times New Roman"/>
          <w:color w:val="000000" w:themeColor="text1"/>
          <w:sz w:val="28"/>
          <w:szCs w:val="28"/>
          <w:lang w:eastAsia="ru-RU"/>
        </w:rPr>
        <w:t>в список участников Программы и предоставлении им Грантов.</w:t>
      </w:r>
    </w:p>
    <w:p w14:paraId="50501A8D" w14:textId="77777777" w:rsidR="005E1BB9" w:rsidRDefault="005E1BB9" w:rsidP="006A518D">
      <w:pPr>
        <w:pStyle w:val="a3"/>
        <w:ind w:firstLine="709"/>
        <w:rPr>
          <w:rFonts w:ascii="Times New Roman" w:hAnsi="Times New Roman" w:cs="Times New Roman"/>
          <w:color w:val="000000" w:themeColor="text1"/>
          <w:sz w:val="28"/>
          <w:szCs w:val="28"/>
        </w:rPr>
      </w:pPr>
    </w:p>
    <w:sectPr w:rsidR="005E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8D"/>
    <w:rsid w:val="000242D9"/>
    <w:rsid w:val="003E1BBE"/>
    <w:rsid w:val="005E1BB9"/>
    <w:rsid w:val="006A518D"/>
    <w:rsid w:val="006D02E5"/>
    <w:rsid w:val="007E2287"/>
    <w:rsid w:val="00880660"/>
    <w:rsid w:val="009324DB"/>
    <w:rsid w:val="00AA40C3"/>
    <w:rsid w:val="00C21078"/>
    <w:rsid w:val="00D3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6EC6"/>
  <w15:chartTrackingRefBased/>
  <w15:docId w15:val="{A838B62C-3B7F-45AE-8974-CDD55705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51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18D"/>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Гипертекстовая ссылка"/>
    <w:uiPriority w:val="99"/>
    <w:rsid w:val="006A518D"/>
    <w:rPr>
      <w:color w:val="106BBE"/>
    </w:rPr>
  </w:style>
  <w:style w:type="character" w:customStyle="1" w:styleId="apple-style-span">
    <w:name w:val="apple-style-span"/>
    <w:rsid w:val="006A518D"/>
  </w:style>
  <w:style w:type="table" w:styleId="a5">
    <w:name w:val="Table Grid"/>
    <w:basedOn w:val="a1"/>
    <w:uiPriority w:val="39"/>
    <w:rsid w:val="006A518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uiPriority w:val="99"/>
    <w:rsid w:val="000242D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dc:creator>
  <cp:keywords/>
  <dc:description/>
  <cp:lastModifiedBy>Никитина</cp:lastModifiedBy>
  <cp:revision>7</cp:revision>
  <dcterms:created xsi:type="dcterms:W3CDTF">2021-04-02T14:29:00Z</dcterms:created>
  <dcterms:modified xsi:type="dcterms:W3CDTF">2022-02-25T11:37:00Z</dcterms:modified>
</cp:coreProperties>
</file>