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905C4" w:rsidTr="009D61E4">
        <w:trPr>
          <w:trHeight w:val="781"/>
        </w:trPr>
        <w:tc>
          <w:tcPr>
            <w:tcW w:w="9781" w:type="dxa"/>
          </w:tcPr>
          <w:p w:rsidR="00C905C4" w:rsidRPr="00211846" w:rsidRDefault="009054E4" w:rsidP="000A2685">
            <w:pPr>
              <w:rPr>
                <w:rFonts w:ascii="Times New Roman" w:hAnsi="Times New Roman" w:cs="Times New Roman"/>
                <w:color w:val="FF0000"/>
              </w:rPr>
            </w:pPr>
            <w:r w:rsidRPr="00211846">
              <w:rPr>
                <w:rFonts w:ascii="Times New Roman" w:hAnsi="Times New Roman" w:cs="Times New Roman"/>
              </w:rPr>
              <w:t>постановление администрации Алексеевского городского округа</w:t>
            </w:r>
            <w:r w:rsidR="000D069F" w:rsidRPr="00211846">
              <w:rPr>
                <w:rFonts w:ascii="Times New Roman" w:hAnsi="Times New Roman" w:cs="Times New Roman"/>
              </w:rPr>
              <w:t xml:space="preserve"> «</w:t>
            </w:r>
            <w:r w:rsidR="00211846" w:rsidRPr="00211846">
              <w:rPr>
                <w:rFonts w:ascii="Times New Roman" w:hAnsi="Times New Roman" w:cs="Times New Roman"/>
              </w:rPr>
              <w:t>Об утверждении правил определения нормативных затрат на обеспечение функций органов местного самоуправления Алексеевского городского округа, структурных подразделений администрации Алексеевского городского округа, подведомственных им казенных учреждений, выступающих в качестве заказчиков</w:t>
            </w:r>
            <w:r w:rsidR="000D069F" w:rsidRPr="00211846">
              <w:rPr>
                <w:rFonts w:ascii="Times New Roman" w:hAnsi="Times New Roman" w:cs="Times New Roman"/>
              </w:rPr>
              <w:t>»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9D61E4">
        <w:tc>
          <w:tcPr>
            <w:tcW w:w="9781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9D61E4">
        <w:tc>
          <w:tcPr>
            <w:tcW w:w="9781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9D61E4">
        <w:tc>
          <w:tcPr>
            <w:tcW w:w="9781" w:type="dxa"/>
          </w:tcPr>
          <w:p w:rsidR="00140A2C" w:rsidRPr="00140A2C" w:rsidRDefault="00C905C4" w:rsidP="00140A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140A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40A2C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905C4" w:rsidRPr="00140A2C" w:rsidRDefault="00C905C4" w:rsidP="00140A2C">
            <w:pPr>
              <w:rPr>
                <w:rFonts w:ascii="Times New Roman" w:hAnsi="Times New Roman" w:cs="Times New Roman"/>
              </w:rPr>
            </w:pPr>
            <w:r w:rsidRPr="00140A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40A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0A2C">
              <w:rPr>
                <w:rFonts w:ascii="Times New Roman" w:hAnsi="Times New Roman" w:cs="Times New Roman"/>
              </w:rPr>
              <w:t>e-mail</w:t>
            </w:r>
            <w:proofErr w:type="spellEnd"/>
            <w:r w:rsidRPr="00140A2C">
              <w:rPr>
                <w:rFonts w:ascii="Times New Roman" w:hAnsi="Times New Roman" w:cs="Times New Roman"/>
              </w:rPr>
              <w:t>:</w:t>
            </w:r>
            <w:r w:rsidR="00CF050A" w:rsidRPr="00140A2C">
              <w:rPr>
                <w:rFonts w:ascii="Times New Roman" w:hAnsi="Times New Roman" w:cs="Times New Roman"/>
              </w:rPr>
              <w:t xml:space="preserve"> torgi@al.belregion.ru</w:t>
            </w:r>
          </w:p>
          <w:p w:rsidR="00C905C4" w:rsidRPr="006E1882" w:rsidRDefault="00C905C4" w:rsidP="00C43D4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с </w:t>
            </w:r>
            <w:r w:rsidR="007F1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CF050A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сентября 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46CFE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3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</w:t>
            </w:r>
            <w:r w:rsidR="00CF050A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1C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="00C43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46CFE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3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D61E4"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0A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654842">
    <w:abstractNumId w:val="1"/>
  </w:num>
  <w:num w:numId="2" w16cid:durableId="1150290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94D"/>
    <w:rsid w:val="00077DAB"/>
    <w:rsid w:val="000A2685"/>
    <w:rsid w:val="000D069F"/>
    <w:rsid w:val="000D281B"/>
    <w:rsid w:val="00140A2C"/>
    <w:rsid w:val="001E694D"/>
    <w:rsid w:val="00211846"/>
    <w:rsid w:val="003A1019"/>
    <w:rsid w:val="007C3A28"/>
    <w:rsid w:val="007E595E"/>
    <w:rsid w:val="007F1CFB"/>
    <w:rsid w:val="008673E1"/>
    <w:rsid w:val="00871C42"/>
    <w:rsid w:val="00873C6E"/>
    <w:rsid w:val="008E0848"/>
    <w:rsid w:val="009054E4"/>
    <w:rsid w:val="00946CFE"/>
    <w:rsid w:val="009D61E4"/>
    <w:rsid w:val="009E377B"/>
    <w:rsid w:val="00B748E9"/>
    <w:rsid w:val="00BA041E"/>
    <w:rsid w:val="00BC6AA6"/>
    <w:rsid w:val="00BF3ED1"/>
    <w:rsid w:val="00C41BFD"/>
    <w:rsid w:val="00C43D4D"/>
    <w:rsid w:val="00C73270"/>
    <w:rsid w:val="00C905C4"/>
    <w:rsid w:val="00CF050A"/>
    <w:rsid w:val="00EA4538"/>
    <w:rsid w:val="00F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8000"/>
  <w15:docId w15:val="{44865410-A44D-4485-A315-17003AD4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Yulia Suhanova</cp:lastModifiedBy>
  <cp:revision>14</cp:revision>
  <cp:lastPrinted>2020-01-31T06:12:00Z</cp:lastPrinted>
  <dcterms:created xsi:type="dcterms:W3CDTF">2020-07-24T07:44:00Z</dcterms:created>
  <dcterms:modified xsi:type="dcterms:W3CDTF">2024-09-03T11:53:00Z</dcterms:modified>
</cp:coreProperties>
</file>