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A0" w:rsidRDefault="006D6FA0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6D6FA0" w:rsidRDefault="006D6FA0">
      <w:pPr>
        <w:spacing w:after="1" w:line="220" w:lineRule="auto"/>
        <w:jc w:val="both"/>
        <w:outlineLvl w:val="0"/>
      </w:pPr>
    </w:p>
    <w:p w:rsidR="006D6FA0" w:rsidRDefault="006D6FA0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МИНИСТЕРСТВО ТРУДА И СОЦИАЛЬНОЙ ЗАЩИТЫ РОССИЙСКОЙ ФЕДЕРАЦИИ</w:t>
      </w:r>
    </w:p>
    <w:p w:rsidR="006D6FA0" w:rsidRDefault="006D6FA0">
      <w:pPr>
        <w:spacing w:after="1" w:line="220" w:lineRule="auto"/>
        <w:jc w:val="center"/>
      </w:pPr>
    </w:p>
    <w:p w:rsidR="006D6FA0" w:rsidRDefault="006D6FA0">
      <w:pPr>
        <w:spacing w:after="1" w:line="220" w:lineRule="auto"/>
        <w:jc w:val="center"/>
      </w:pPr>
      <w:r>
        <w:rPr>
          <w:rFonts w:ascii="Calibri" w:hAnsi="Calibri" w:cs="Calibri"/>
          <w:b/>
        </w:rPr>
        <w:t>ПИСЬМО</w:t>
      </w:r>
    </w:p>
    <w:p w:rsidR="006D6FA0" w:rsidRDefault="006D6FA0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5 августа 2024 г. N 28-6/10/В-12568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Министерство труда и социальной защиты Российской Федерации по результатам мониторинга анализа практики применения </w:t>
      </w:r>
      <w:hyperlink r:id="rId5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коррупции", проведенного во исполнение </w:t>
      </w:r>
      <w:hyperlink r:id="rId6">
        <w:r>
          <w:rPr>
            <w:rFonts w:ascii="Calibri" w:hAnsi="Calibri" w:cs="Calibri"/>
            <w:color w:val="0000FF"/>
          </w:rPr>
          <w:t>пункта 22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2021 - 2024 годы, утвержденного Указом Президента Российской Федерации от 16 августа 2021 г. N 478 "О Национальном плане противодействия коррупции на 2021 - 2024 годы", а также в рамках реализации полномочий, предусмотренных </w:t>
      </w:r>
      <w:hyperlink r:id="rId7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r:id="rId8">
        <w:r>
          <w:rPr>
            <w:rFonts w:ascii="Calibri" w:hAnsi="Calibri" w:cs="Calibri"/>
            <w:color w:val="0000FF"/>
          </w:rPr>
          <w:t>"в" пункта 25</w:t>
        </w:r>
      </w:hyperlink>
      <w:r>
        <w:rPr>
          <w:rFonts w:ascii="Calibri" w:hAnsi="Calibri" w:cs="Calibri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коррупции", направляет информационное </w:t>
      </w:r>
      <w:hyperlink w:anchor="P16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о порядке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right"/>
      </w:pPr>
      <w:r>
        <w:rPr>
          <w:rFonts w:ascii="Calibri" w:hAnsi="Calibri" w:cs="Calibri"/>
        </w:rPr>
        <w:t>А.В.ВОВЧЕНКО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center"/>
      </w:pPr>
      <w:bookmarkStart w:id="1" w:name="P16"/>
      <w:bookmarkEnd w:id="1"/>
      <w:r>
        <w:rPr>
          <w:rFonts w:ascii="Calibri" w:hAnsi="Calibri" w:cs="Calibri"/>
          <w:b/>
        </w:rPr>
        <w:t>ИНФОРМАЦИОННОЕ ПИСЬМО</w:t>
      </w:r>
    </w:p>
    <w:p w:rsidR="006D6FA0" w:rsidRDefault="006D6FA0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ПРОВЕДЕНИЯ ПРОВЕРКИ СОБЛЮДЕНИЯ ОГРАНИЧЕНИЙ,</w:t>
      </w:r>
    </w:p>
    <w:p w:rsidR="006D6FA0" w:rsidRDefault="006D6FA0">
      <w:pPr>
        <w:spacing w:after="1" w:line="220" w:lineRule="auto"/>
        <w:jc w:val="center"/>
      </w:pPr>
      <w:r>
        <w:rPr>
          <w:rFonts w:ascii="Calibri" w:hAnsi="Calibri" w:cs="Calibri"/>
          <w:b/>
        </w:rPr>
        <w:t>НАЛАГАЕМЫХ НА ГРАЖДАН РОССИЙСКОЙ ФЕДЕРАЦИИ ПОСЛЕ ИХ</w:t>
      </w:r>
    </w:p>
    <w:p w:rsidR="006D6FA0" w:rsidRDefault="006D6FA0">
      <w:pPr>
        <w:spacing w:after="1" w:line="220" w:lineRule="auto"/>
        <w:jc w:val="center"/>
      </w:pPr>
      <w:r>
        <w:rPr>
          <w:rFonts w:ascii="Calibri" w:hAnsi="Calibri" w:cs="Calibri"/>
          <w:b/>
        </w:rPr>
        <w:t>УВОЛЬНЕНИЯ С ГОСУДАРСТВЕННОЙ СЛУЖБЫ РОССИЙСКОЙ</w:t>
      </w:r>
    </w:p>
    <w:p w:rsidR="006D6FA0" w:rsidRDefault="006D6FA0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ФЕДЕРАЦИИ ИЛИ МУНИЦИПАЛЬНОЙ СЛУЖБЫ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Министерством труда и социальной защиты Российской Федерации в рамках исполнения пункта 13 поручения Правительства Российской Федерации от 6 сентября 2021 г. N ММ-П17-12165, данного в целях реализации </w:t>
      </w:r>
      <w:hyperlink r:id="rId9">
        <w:r>
          <w:rPr>
            <w:rFonts w:ascii="Calibri" w:hAnsi="Calibri" w:cs="Calibri"/>
            <w:color w:val="0000FF"/>
          </w:rPr>
          <w:t>пункта 22</w:t>
        </w:r>
      </w:hyperlink>
      <w:r>
        <w:rPr>
          <w:rFonts w:ascii="Calibri" w:hAnsi="Calibri" w:cs="Calibri"/>
        </w:rPr>
        <w:t xml:space="preserve"> Национального плана противодействия коррупции на 2021 - 2024 годы, утвержденного Указом Президента Российской Федерации от 16 августа 2021 г. N 478 "О Национальном плане противодействия коррупции на 2021 - 2024 годы", проведен мониторинг анализа практики применения </w:t>
      </w:r>
      <w:hyperlink r:id="rId10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(далее соответственно - мониторинг, Федеральный закон N 273-ФЗ).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1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N 273-ФЗ гражданин Российской Федерации, замещавший должность государственной службы Российской Федерации или муниципальной службы (далее - государственная (муниципальная) служба), включенную в перечень, установленный нормативными правовыми актами Российской Федерации (далее - бывший служащий), в течение двух лет после увольнения с государственной (муниципальной)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(далее - договоры), если отдельные функции государственного, муниципального (административного) управления (далее - отдельные функции управления) данной организацией входили в должностные (служебные) обязанности бывшего служащего, с согласия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Ранее Минтрудом России совместно с заинтересованными федеральными государственными органами подготовлены Методические </w:t>
      </w:r>
      <w:hyperlink r:id="rId12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вопросам соблюдения ограничений, </w:t>
      </w:r>
      <w:r>
        <w:rPr>
          <w:rFonts w:ascii="Calibri" w:hAnsi="Calibri" w:cs="Calibri"/>
        </w:rPr>
        <w:lastRenderedPageBreak/>
        <w:t>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 (далее соответственно - Методические рекомендации, ограничения) &lt;1&gt;.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&lt;1&gt; Доступны для ознакомления и скачивания на официальном сайте Минтруда России в информационно-телекоммуникационной сети "Интернет" по ссылке: https://mintrud.gov.ru/ministry/programms/anticorruption/9/4.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Указанные Методические </w:t>
      </w:r>
      <w:hyperlink r:id="rId13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являются актуальными.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этом дополнительно напоминаем, что ограничения распространяются при одновременном наличии условий, непосредственно указанных в содержании самого ограничения, которые также обозначены в </w:t>
      </w:r>
      <w:hyperlink r:id="rId14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Методических рекомендаций.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 учетом результатов мониторинга обращаем внимание, что вхождение в должностные (служебные) обязанности бывшего служащего отдельных функций управления организацией, с которой планируется заключение договора, само по себе не является безусловным основанием для отказа в заключении договора. Рассматриваемое обстоятельство при одновременном наличии иных предусмотренных Федеральным </w:t>
      </w:r>
      <w:hyperlink r:id="rId1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273-ФЗ условий требует предварительного получения согласия комиссии.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Методических </w:t>
      </w:r>
      <w:hyperlink r:id="rId16">
        <w:r>
          <w:rPr>
            <w:rFonts w:ascii="Calibri" w:hAnsi="Calibri" w:cs="Calibri"/>
            <w:color w:val="0000FF"/>
          </w:rPr>
          <w:t>рекомендациях</w:t>
        </w:r>
      </w:hyperlink>
      <w:r>
        <w:rPr>
          <w:rFonts w:ascii="Calibri" w:hAnsi="Calibri" w:cs="Calibri"/>
        </w:rPr>
        <w:t xml:space="preserve"> отмечено, что рассмотрение соответствующего вопроса о даче согласия (отказе) осуществляется посредством анализа коррупционных рисков на предмет недопущения возникновения коллизии публичных и частных интересов, которая может выражаться: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 возникновении конфликта интересов при исполнении должностных (служебных)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 неправомерном использовании служебной информации в интересах организации после увольнения с государственной (муниципальной) службы &lt;2&gt;.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&lt;2&gt; См. </w:t>
      </w:r>
      <w:hyperlink r:id="rId17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Методических рекомендаций.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Как следствие, даже при вхождении отдельных функций управления в должностные (служебные) обязанности бывшего служащего комиссией может быть принято решение о даче согласия (при условии отсутствия установленных коррупционных рисков).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Дополнительно напоминаем, что основанием для проведения заседания комиссии является поступившее в соответствии с </w:t>
      </w:r>
      <w:hyperlink r:id="rId18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N 273-ФЗ и </w:t>
      </w:r>
      <w:hyperlink r:id="rId19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Федерации в орган публичной власти уведомление коммерческой или некоммерческой организации о заключении с бывшим служащим договора &lt;3&gt;.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&lt;3&gt; Уведомление от коммерческой или некоммерческой организации о заключении с бывшим служащим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 (далее также - уведомление).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Такое уведомление рассматривается на заседании комиссии при наличии одного из следующих условий &lt;4&gt;: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&lt;4&gt; </w:t>
      </w:r>
      <w:hyperlink r:id="rId20">
        <w:r>
          <w:rPr>
            <w:rFonts w:ascii="Calibri" w:hAnsi="Calibri" w:cs="Calibri"/>
            <w:color w:val="0000FF"/>
          </w:rPr>
          <w:t>Подпункт "д" пункта 16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Положение о комиссии).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- бывшему служащему комиссией ранее было отказано во вступлении в трудовые и гражданско-правовые отношения с организацией;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вопрос о даче согласия бывшему служащему на заключение договора с соответствующей организацией комиссией не рассматривался, а отдельные функции управления данной организацией входили в его должностные (служебные) обязанности.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Таким образом, в ситуации, когда вопрос о даче согласия бывшему служащему на заключение договора не рассматривался, но такое рассмотрение требуется, сам факт отсутствия обращения &lt;5&gt; бывшего служащего до заключения договора еще не свидетельствует о безусловном отказе: предусматривается возможность дать согласие на основании уведомления &lt;6&gt;.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&lt;5&gt; Обращение от бывшего служащего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 (далее также - обращение).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&lt;6&gt; </w:t>
      </w:r>
      <w:hyperlink r:id="rId21">
        <w:r>
          <w:rPr>
            <w:rFonts w:ascii="Calibri" w:hAnsi="Calibri" w:cs="Calibri"/>
            <w:color w:val="0000FF"/>
          </w:rPr>
          <w:t>Подпункт "а" пункта 26.1</w:t>
        </w:r>
      </w:hyperlink>
      <w:r>
        <w:rPr>
          <w:rFonts w:ascii="Calibri" w:hAnsi="Calibri" w:cs="Calibri"/>
        </w:rPr>
        <w:t xml:space="preserve"> Положения о комиссии.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Кроме того, важно помнить, что любой отказ (как по результатам рассмотрения обращения, так и по результатам рассмотрения уведомления) должен быть мотивирован.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Учитывая изложенное, именно анализ коррупционных рисков на предмет недопущения возникновения коллизии публичных и частных интересов может являться предметом проверки соблюдения ограничения.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рамках мониторинга проанализирована практика проведения проверок соблюдения бывшими служащими ограничений.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Отмечаем, что подразделения органов публичной власти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и органы субъектов Российской Федерации по профилактике коррупционных и иных правонарушений (далее - антикоррупционные подразделения) в настоящий момент обладают рядом полномочий, направленных на проведение указанных проверок.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Правоприменительная практика свидетельствует о следующих возможных сценариях, связанных с соблюдением </w:t>
      </w:r>
      <w:hyperlink r:id="rId22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N 273-ФЗ, которые представлены в таблице.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right"/>
      </w:pPr>
      <w:r>
        <w:rPr>
          <w:rFonts w:ascii="Calibri" w:hAnsi="Calibri" w:cs="Calibri"/>
        </w:rPr>
        <w:t>Таблица. Возможные сценарии</w:t>
      </w:r>
    </w:p>
    <w:p w:rsidR="006D6FA0" w:rsidRDefault="006D6FA0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17"/>
        <w:gridCol w:w="3017"/>
      </w:tblGrid>
      <w:tr w:rsidR="006D6FA0">
        <w:tc>
          <w:tcPr>
            <w:tcW w:w="3061" w:type="dxa"/>
          </w:tcPr>
          <w:p w:rsidR="006D6FA0" w:rsidRDefault="006D6FA0">
            <w:pPr>
              <w:spacing w:after="1" w:line="220" w:lineRule="auto"/>
            </w:pP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Обращение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Уведомление</w:t>
            </w:r>
          </w:p>
        </w:tc>
      </w:tr>
      <w:tr w:rsidR="006D6FA0">
        <w:tc>
          <w:tcPr>
            <w:tcW w:w="3061" w:type="dxa"/>
            <w:vAlign w:val="bottom"/>
          </w:tcPr>
          <w:p w:rsidR="006D6FA0" w:rsidRDefault="006D6FA0">
            <w:pPr>
              <w:spacing w:after="1" w:line="220" w:lineRule="auto"/>
            </w:pPr>
            <w:bookmarkStart w:id="2" w:name="P64"/>
            <w:bookmarkEnd w:id="2"/>
            <w:r>
              <w:rPr>
                <w:rFonts w:ascii="Calibri" w:hAnsi="Calibri" w:cs="Calibri"/>
              </w:rPr>
              <w:t>Сценарий 1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направлено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направлено</w:t>
            </w:r>
          </w:p>
        </w:tc>
      </w:tr>
      <w:tr w:rsidR="006D6FA0">
        <w:tc>
          <w:tcPr>
            <w:tcW w:w="3061" w:type="dxa"/>
            <w:vAlign w:val="bottom"/>
          </w:tcPr>
          <w:p w:rsidR="006D6FA0" w:rsidRDefault="006D6FA0">
            <w:pPr>
              <w:spacing w:after="1" w:line="220" w:lineRule="auto"/>
            </w:pPr>
            <w:r>
              <w:rPr>
                <w:rFonts w:ascii="Calibri" w:hAnsi="Calibri" w:cs="Calibri"/>
              </w:rPr>
              <w:t>Сценарий 2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направлено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направлено</w:t>
            </w:r>
          </w:p>
        </w:tc>
      </w:tr>
      <w:tr w:rsidR="006D6FA0">
        <w:tc>
          <w:tcPr>
            <w:tcW w:w="3061" w:type="dxa"/>
            <w:vAlign w:val="bottom"/>
          </w:tcPr>
          <w:p w:rsidR="006D6FA0" w:rsidRDefault="006D6FA0">
            <w:pPr>
              <w:spacing w:after="1" w:line="220" w:lineRule="auto"/>
            </w:pPr>
            <w:bookmarkStart w:id="3" w:name="P70"/>
            <w:bookmarkEnd w:id="3"/>
            <w:r>
              <w:rPr>
                <w:rFonts w:ascii="Calibri" w:hAnsi="Calibri" w:cs="Calibri"/>
              </w:rPr>
              <w:lastRenderedPageBreak/>
              <w:t>Сценарий 3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направлено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направлено</w:t>
            </w:r>
          </w:p>
        </w:tc>
      </w:tr>
      <w:tr w:rsidR="006D6FA0">
        <w:tc>
          <w:tcPr>
            <w:tcW w:w="3061" w:type="dxa"/>
            <w:vAlign w:val="bottom"/>
          </w:tcPr>
          <w:p w:rsidR="006D6FA0" w:rsidRDefault="006D6FA0">
            <w:pPr>
              <w:spacing w:after="1" w:line="220" w:lineRule="auto"/>
            </w:pPr>
            <w:bookmarkStart w:id="4" w:name="P73"/>
            <w:bookmarkEnd w:id="4"/>
            <w:r>
              <w:rPr>
                <w:rFonts w:ascii="Calibri" w:hAnsi="Calibri" w:cs="Calibri"/>
              </w:rPr>
              <w:t>Сценарий 4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направлено</w:t>
            </w:r>
          </w:p>
        </w:tc>
        <w:tc>
          <w:tcPr>
            <w:tcW w:w="3017" w:type="dxa"/>
            <w:vAlign w:val="bottom"/>
          </w:tcPr>
          <w:p w:rsidR="006D6FA0" w:rsidRDefault="006D6FA0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 направлено</w:t>
            </w:r>
          </w:p>
        </w:tc>
      </w:tr>
    </w:tbl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</w:t>
      </w:r>
      <w:hyperlink w:anchor="P64">
        <w:r>
          <w:rPr>
            <w:rFonts w:ascii="Calibri" w:hAnsi="Calibri" w:cs="Calibri"/>
            <w:color w:val="0000FF"/>
          </w:rPr>
          <w:t>сценариях N 1</w:t>
        </w:r>
      </w:hyperlink>
      <w:r>
        <w:rPr>
          <w:rFonts w:ascii="Calibri" w:hAnsi="Calibri" w:cs="Calibri"/>
        </w:rPr>
        <w:t xml:space="preserve"> - </w:t>
      </w:r>
      <w:hyperlink w:anchor="P70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действующее нормативное правовое регулирование позволяет в полной мере осуществить комплекс мероприятий, направленных на достоверное и полное установление всех обстоятельств.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Так, в случае, когда в орган публичной власти поступает обращение и (или) уведомление в соответствии с </w:t>
      </w:r>
      <w:hyperlink r:id="rId23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комиссии, антикоррупционное подразделение осуществляет подготовку соответствующего мотивированного заключения &lt;7&gt;.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&lt;7&gt; </w:t>
      </w:r>
      <w:hyperlink r:id="rId24">
        <w:r>
          <w:rPr>
            <w:rFonts w:ascii="Calibri" w:hAnsi="Calibri" w:cs="Calibri"/>
            <w:color w:val="0000FF"/>
          </w:rPr>
          <w:t>Пункты 17.1</w:t>
        </w:r>
      </w:hyperlink>
      <w:r>
        <w:rPr>
          <w:rFonts w:ascii="Calibri" w:hAnsi="Calibri" w:cs="Calibri"/>
        </w:rPr>
        <w:t xml:space="preserve"> и </w:t>
      </w:r>
      <w:hyperlink r:id="rId25">
        <w:r>
          <w:rPr>
            <w:rFonts w:ascii="Calibri" w:hAnsi="Calibri" w:cs="Calibri"/>
            <w:color w:val="0000FF"/>
          </w:rPr>
          <w:t>17.3</w:t>
        </w:r>
      </w:hyperlink>
      <w:r>
        <w:rPr>
          <w:rFonts w:ascii="Calibri" w:hAnsi="Calibri" w:cs="Calibri"/>
        </w:rPr>
        <w:t xml:space="preserve"> Положения о комиссии соответственно.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 подготовке мотивированного заключения антикоррупционные подразделения наделены полномочиями проводить собеседование с соответствующим служащим, представившим обращение, получать от него письменные пояснения, а уполномоченные должностные лица органов публичной власти могут направлять в установленном порядке запросы в иные органы публичной власти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 &lt;8&gt;.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&lt;8&gt; </w:t>
      </w:r>
      <w:hyperlink r:id="rId26">
        <w:r>
          <w:rPr>
            <w:rFonts w:ascii="Calibri" w:hAnsi="Calibri" w:cs="Calibri"/>
            <w:color w:val="0000FF"/>
          </w:rPr>
          <w:t>Пункт 17.5</w:t>
        </w:r>
      </w:hyperlink>
      <w:r>
        <w:rPr>
          <w:rFonts w:ascii="Calibri" w:hAnsi="Calibri" w:cs="Calibri"/>
        </w:rPr>
        <w:t xml:space="preserve"> Положения о комиссии.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Каждое мотивированное заключение должно содержать соответствующий мотивированный вывод и рекомендации для принятия одного из решений, предусмотренных соответственно </w:t>
      </w:r>
      <w:hyperlink r:id="rId27">
        <w:r>
          <w:rPr>
            <w:rFonts w:ascii="Calibri" w:hAnsi="Calibri" w:cs="Calibri"/>
            <w:color w:val="0000FF"/>
          </w:rPr>
          <w:t>пунктами 24</w:t>
        </w:r>
      </w:hyperlink>
      <w:r>
        <w:rPr>
          <w:rFonts w:ascii="Calibri" w:hAnsi="Calibri" w:cs="Calibri"/>
        </w:rPr>
        <w:t xml:space="preserve"> и </w:t>
      </w:r>
      <w:hyperlink r:id="rId28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Положения о комиссии &lt;9&gt;.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&lt;9&gt; </w:t>
      </w:r>
      <w:hyperlink r:id="rId29">
        <w:r>
          <w:rPr>
            <w:rFonts w:ascii="Calibri" w:hAnsi="Calibri" w:cs="Calibri"/>
            <w:color w:val="0000FF"/>
          </w:rPr>
          <w:t>Подпункт "в" пункта 17.6</w:t>
        </w:r>
      </w:hyperlink>
      <w:r>
        <w:rPr>
          <w:rFonts w:ascii="Calibri" w:hAnsi="Calibri" w:cs="Calibri"/>
        </w:rPr>
        <w:t xml:space="preserve"> Положения о комиссии.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Также напоминаем, что в случае принятия соответствующей комиссией решения о том, что замещение должности в организации нарушает требования </w:t>
      </w:r>
      <w:hyperlink r:id="rId30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N 273-ФЗ, комиссия рекомендует руководителю органа публичной власти проинформировать об указанных обстоятельствах органы прокуратуры Российской Федерации и уведомившую организацию.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Применимо к </w:t>
      </w:r>
      <w:hyperlink w:anchor="P73">
        <w:r>
          <w:rPr>
            <w:rFonts w:ascii="Calibri" w:hAnsi="Calibri" w:cs="Calibri"/>
            <w:color w:val="0000FF"/>
          </w:rPr>
          <w:t>сценарию N 4</w:t>
        </w:r>
      </w:hyperlink>
      <w:r>
        <w:rPr>
          <w:rFonts w:ascii="Calibri" w:hAnsi="Calibri" w:cs="Calibri"/>
        </w:rPr>
        <w:t xml:space="preserve"> необходимо отметить, что </w:t>
      </w:r>
      <w:hyperlink r:id="rId31">
        <w:r>
          <w:rPr>
            <w:rFonts w:ascii="Calibri" w:hAnsi="Calibri" w:cs="Calibri"/>
            <w:color w:val="0000FF"/>
          </w:rPr>
          <w:t>пунктом 79</w:t>
        </w:r>
      </w:hyperlink>
      <w:r>
        <w:rPr>
          <w:rFonts w:ascii="Calibri" w:hAnsi="Calibri" w:cs="Calibri"/>
        </w:rPr>
        <w:t xml:space="preserve"> Методических рекомендаций предусмотрено, что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рекомендуется соответствующую информацию направлять в органы прокуратуры Российской Федерации по месту нахождения органа.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свою очередь, органы прокуратуры Российской Федерации наделены достаточными полномочиями для надлежащего реагирования в случае поступления такой информации.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Таким образом, в указанном </w:t>
      </w:r>
      <w:hyperlink w:anchor="P73">
        <w:r>
          <w:rPr>
            <w:rFonts w:ascii="Calibri" w:hAnsi="Calibri" w:cs="Calibri"/>
            <w:color w:val="0000FF"/>
          </w:rPr>
          <w:t>сценарии</w:t>
        </w:r>
      </w:hyperlink>
      <w:r>
        <w:rPr>
          <w:rFonts w:ascii="Calibri" w:hAnsi="Calibri" w:cs="Calibri"/>
        </w:rPr>
        <w:t xml:space="preserve"> проверкой может считаться именно процедура внутреннего контроля дальнейшей карьеры бывшего служащего.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Практика свидетельствует, что в целях осуществления обозначенного контроля органы публичной власти используют следующие механизмы: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ведение реестра (списка) бывших служащих;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анализ поступивших обращений и уведомлений и их сравнение;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уточнение информации о дальнейшем трудоустройстве бывшего служащего (например, посредством телефонного разговора).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нашему мнению, для осуществления наиболее эффективного контроля за трудоустройством бывших служащих необходимо использовать именно комплексные подходы.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Так, например, отдельного внимания заслуживает алгоритм контроля за трудоустройством бывших служащих, заключающийся в формировании списка уволенных лиц с указанием данных о поступлении уведомлений, отслеживании передачи личных дел в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 и регистрации граждан Российской Федерации в едином государственном реестре юридических лиц и едином государственном реестре индивидуальных предпринимателей.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Учитывая изложенное, в целях повышения эффективности государственной политики в сфере противодействия коррупции убедительно просим использовать действующие механизмы, касающиеся проведения проверок, предусмотренные законодательством Российской Федерации и Методическими </w:t>
      </w:r>
      <w:hyperlink r:id="rId32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>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Особое внимание обращаем на рекомендацию, согласно которой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направляется в органы прокуратуры Российской Федерации по месту нахождения органа.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Несоблюдение указанной рекомендации может свидетельствовать о неисполнении органом публичной власти пункта 2 раздела 4 протокола заседания президиума Совета при Президенте Российской Федерации по противодействию коррупции от 24 апреля 2015 г. N 47.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указанных обстоятельствах: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центральным аппаратам федеральных государственных органов целесообразно усилить как внутренний контроль за соблюдением обозначенной рекомендации, так и контроль за ее соблюдением в территориальных органах федеральных государственных органов;</w:t>
      </w:r>
    </w:p>
    <w:p w:rsidR="006D6FA0" w:rsidRDefault="006D6FA0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органам субъектов Российской Федерации по профилактике коррупционных и иных правонарушений - усилить контроль в отношении соответствующих органов публичной власти.</w:t>
      </w: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spacing w:after="1" w:line="220" w:lineRule="auto"/>
        <w:jc w:val="both"/>
      </w:pPr>
    </w:p>
    <w:p w:rsidR="006D6FA0" w:rsidRDefault="006D6FA0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242D0" w:rsidRDefault="003242D0"/>
    <w:sectPr w:rsidR="003242D0" w:rsidSect="00B2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CA"/>
    <w:rsid w:val="003242D0"/>
    <w:rsid w:val="006D09CA"/>
    <w:rsid w:val="006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6401-BAD6-4D5D-AD1F-125197A9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7042&amp;dst=100001" TargetMode="External"/><Relationship Id="rId18" Type="http://schemas.openxmlformats.org/officeDocument/2006/relationships/hyperlink" Target="https://login.consultant.ru/link/?req=doc&amp;base=LAW&amp;n=464894&amp;dst=33" TargetMode="External"/><Relationship Id="rId26" Type="http://schemas.openxmlformats.org/officeDocument/2006/relationships/hyperlink" Target="https://login.consultant.ru/link/?req=doc&amp;base=LAW&amp;n=468056&amp;dst=10018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056&amp;dst=1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8040&amp;dst=100269" TargetMode="External"/><Relationship Id="rId12" Type="http://schemas.openxmlformats.org/officeDocument/2006/relationships/hyperlink" Target="https://login.consultant.ru/link/?req=doc&amp;base=LAW&amp;n=217042&amp;dst=100001" TargetMode="External"/><Relationship Id="rId17" Type="http://schemas.openxmlformats.org/officeDocument/2006/relationships/hyperlink" Target="https://login.consultant.ru/link/?req=doc&amp;base=LAW&amp;n=217042&amp;dst=100004" TargetMode="External"/><Relationship Id="rId25" Type="http://schemas.openxmlformats.org/officeDocument/2006/relationships/hyperlink" Target="https://login.consultant.ru/link/?req=doc&amp;base=LAW&amp;n=468056&amp;dst=10015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7042&amp;dst=100001" TargetMode="External"/><Relationship Id="rId20" Type="http://schemas.openxmlformats.org/officeDocument/2006/relationships/hyperlink" Target="https://login.consultant.ru/link/?req=doc&amp;base=LAW&amp;n=468056&amp;dst=100146" TargetMode="External"/><Relationship Id="rId29" Type="http://schemas.openxmlformats.org/officeDocument/2006/relationships/hyperlink" Target="https://login.consultant.ru/link/?req=doc&amp;base=LAW&amp;n=468056&amp;dst=1001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3&amp;dst=100129" TargetMode="External"/><Relationship Id="rId11" Type="http://schemas.openxmlformats.org/officeDocument/2006/relationships/hyperlink" Target="https://login.consultant.ru/link/?req=doc&amp;base=LAW&amp;n=464894&amp;dst=28" TargetMode="External"/><Relationship Id="rId24" Type="http://schemas.openxmlformats.org/officeDocument/2006/relationships/hyperlink" Target="https://login.consultant.ru/link/?req=doc&amp;base=LAW&amp;n=468056&amp;dst=100154" TargetMode="External"/><Relationship Id="rId32" Type="http://schemas.openxmlformats.org/officeDocument/2006/relationships/hyperlink" Target="https://login.consultant.ru/link/?req=doc&amp;base=LAW&amp;n=217042&amp;dst=100001" TargetMode="External"/><Relationship Id="rId5" Type="http://schemas.openxmlformats.org/officeDocument/2006/relationships/hyperlink" Target="https://login.consultant.ru/link/?req=doc&amp;base=LAW&amp;n=464894&amp;dst=28" TargetMode="External"/><Relationship Id="rId15" Type="http://schemas.openxmlformats.org/officeDocument/2006/relationships/hyperlink" Target="https://login.consultant.ru/link/?req=doc&amp;base=LAW&amp;n=464894" TargetMode="External"/><Relationship Id="rId23" Type="http://schemas.openxmlformats.org/officeDocument/2006/relationships/hyperlink" Target="https://login.consultant.ru/link/?req=doc&amp;base=LAW&amp;n=468056&amp;dst=100053" TargetMode="External"/><Relationship Id="rId28" Type="http://schemas.openxmlformats.org/officeDocument/2006/relationships/hyperlink" Target="https://login.consultant.ru/link/?req=doc&amp;base=LAW&amp;n=468056&amp;dst=100152" TargetMode="External"/><Relationship Id="rId10" Type="http://schemas.openxmlformats.org/officeDocument/2006/relationships/hyperlink" Target="https://login.consultant.ru/link/?req=doc&amp;base=LAW&amp;n=464894&amp;dst=28" TargetMode="External"/><Relationship Id="rId19" Type="http://schemas.openxmlformats.org/officeDocument/2006/relationships/hyperlink" Target="https://login.consultant.ru/link/?req=doc&amp;base=LAW&amp;n=474024&amp;dst=1713" TargetMode="External"/><Relationship Id="rId31" Type="http://schemas.openxmlformats.org/officeDocument/2006/relationships/hyperlink" Target="https://login.consultant.ru/link/?req=doc&amp;base=LAW&amp;n=217042&amp;dst=1002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0733&amp;dst=100129" TargetMode="External"/><Relationship Id="rId14" Type="http://schemas.openxmlformats.org/officeDocument/2006/relationships/hyperlink" Target="https://login.consultant.ru/link/?req=doc&amp;base=LAW&amp;n=217042&amp;dst=100014" TargetMode="External"/><Relationship Id="rId22" Type="http://schemas.openxmlformats.org/officeDocument/2006/relationships/hyperlink" Target="https://login.consultant.ru/link/?req=doc&amp;base=LAW&amp;n=464894&amp;dst=28" TargetMode="External"/><Relationship Id="rId27" Type="http://schemas.openxmlformats.org/officeDocument/2006/relationships/hyperlink" Target="https://login.consultant.ru/link/?req=doc&amp;base=LAW&amp;n=468056&amp;dst=100102" TargetMode="External"/><Relationship Id="rId30" Type="http://schemas.openxmlformats.org/officeDocument/2006/relationships/hyperlink" Target="https://login.consultant.ru/link/?req=doc&amp;base=LAW&amp;n=464894&amp;dst=28" TargetMode="External"/><Relationship Id="rId8" Type="http://schemas.openxmlformats.org/officeDocument/2006/relationships/hyperlink" Target="https://login.consultant.ru/link/?req=doc&amp;base=LAW&amp;n=468040&amp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2024-08-22T07:49:00Z</dcterms:created>
  <dcterms:modified xsi:type="dcterms:W3CDTF">2024-08-22T07:49:00Z</dcterms:modified>
</cp:coreProperties>
</file>