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786D" w14:textId="2A8D9689" w:rsidR="00F12C76" w:rsidRDefault="00F50BC3" w:rsidP="00F50BC3">
      <w:pPr>
        <w:spacing w:after="0"/>
        <w:ind w:firstLine="709"/>
        <w:jc w:val="center"/>
        <w:rPr>
          <w:sz w:val="44"/>
          <w:szCs w:val="36"/>
        </w:rPr>
      </w:pPr>
      <w:r w:rsidRPr="00F50BC3">
        <w:rPr>
          <w:sz w:val="44"/>
          <w:szCs w:val="36"/>
        </w:rPr>
        <w:t>Услуги по вовлечению в предпринимательскую деятельность, предоставляемые МКК Белгородский областной фонд поддержки малого и среднего предпринимательства на бесплатной основе. Гранты до 1,5 млн рублей.</w:t>
      </w:r>
    </w:p>
    <w:p w14:paraId="2168D155" w14:textId="77777777" w:rsidR="00F50BC3" w:rsidRDefault="00F50BC3" w:rsidP="00F50BC3">
      <w:pPr>
        <w:pStyle w:val="a3"/>
        <w:shd w:val="clear" w:color="auto" w:fill="FFFFFF"/>
        <w:spacing w:before="0" w:beforeAutospacing="0" w:after="240" w:afterAutospacing="0"/>
        <w:rPr>
          <w:rFonts w:ascii="PT Sans" w:hAnsi="PT Sans"/>
          <w:color w:val="212529"/>
        </w:rPr>
      </w:pPr>
      <w:r>
        <w:rPr>
          <w:rFonts w:ascii="PT Sans" w:hAnsi="PT Sans"/>
          <w:color w:val="212529"/>
        </w:rPr>
        <w:t>Гранты до 1,5 млн рублей.</w:t>
      </w:r>
    </w:p>
    <w:p w14:paraId="4D335D47" w14:textId="77777777" w:rsidR="00F50BC3" w:rsidRDefault="00F50BC3" w:rsidP="00F50BC3">
      <w:pPr>
        <w:pStyle w:val="a3"/>
        <w:shd w:val="clear" w:color="auto" w:fill="FFFFFF"/>
        <w:spacing w:before="0" w:beforeAutospacing="0" w:after="240" w:afterAutospacing="0"/>
        <w:rPr>
          <w:rFonts w:ascii="PT Sans" w:hAnsi="PT Sans"/>
          <w:color w:val="212529"/>
        </w:rPr>
      </w:pPr>
      <w:r>
        <w:rPr>
          <w:rFonts w:ascii="PT Sans" w:hAnsi="PT Sans"/>
          <w:color w:val="212529"/>
        </w:rPr>
        <w:t>ФОНД МКК - бесплатные услуги по вовлечению в предпринимательскую деятельность с грантами до 1,5 млн рублей</w:t>
      </w:r>
    </w:p>
    <w:p w14:paraId="468E5DDC" w14:textId="3DFCEF97" w:rsidR="00F50BC3" w:rsidRDefault="00F50BC3" w:rsidP="00F50BC3">
      <w:pPr>
        <w:pStyle w:val="a3"/>
        <w:shd w:val="clear" w:color="auto" w:fill="FFFFFF"/>
        <w:spacing w:before="0" w:beforeAutospacing="0" w:after="240" w:afterAutospacing="0"/>
        <w:rPr>
          <w:rFonts w:ascii="PT Sans" w:hAnsi="PT Sans"/>
          <w:color w:val="212529"/>
        </w:rPr>
      </w:pPr>
      <w:r>
        <w:rPr>
          <w:rFonts w:ascii="PT Sans" w:hAnsi="PT Sans"/>
          <w:color w:val="212529"/>
        </w:rPr>
        <w:t>Участие в Конкурсе осуществляется на бесплатной основе.</w:t>
      </w:r>
      <w:r>
        <w:rPr>
          <w:rFonts w:ascii="PT Sans" w:hAnsi="PT Sans"/>
          <w:color w:val="212529"/>
        </w:rPr>
        <w:br/>
        <w:t>Получатели грантов определяются по результатам Конкурса бизнес-идей. Способом проведения отбора является рассмотрение и оценка поступивших заявок, прошедших по критериям отбора и допущенных к участию в Конкурсе бизнес-идей.</w:t>
      </w:r>
      <w:r>
        <w:rPr>
          <w:rFonts w:ascii="PT Sans" w:hAnsi="PT Sans"/>
          <w:color w:val="212529"/>
        </w:rPr>
        <w:br/>
        <w:t>Размер гранта на одного победителя отбора составляет до 1,5 млн рублей.</w:t>
      </w:r>
      <w:r>
        <w:rPr>
          <w:rFonts w:ascii="PT Sans" w:hAnsi="PT Sans"/>
          <w:color w:val="212529"/>
        </w:rPr>
        <w:br/>
        <w:t>Грант предоставляется каждому победителю отбора единовременно в полном объеме.</w:t>
      </w:r>
      <w:r>
        <w:rPr>
          <w:rFonts w:ascii="PT Sans" w:hAnsi="PT Sans"/>
          <w:color w:val="212529"/>
        </w:rPr>
        <w:br/>
        <w:t>Грант предоставляется на обеспечение расходов, связанных с реализацией бизнес-идеи, в следующих сферах деятельности:</w:t>
      </w:r>
      <w:r>
        <w:rPr>
          <w:rFonts w:ascii="PT Sans" w:hAnsi="PT Sans"/>
          <w:color w:val="212529"/>
        </w:rPr>
        <w:br/>
        <w:t>- производства;</w:t>
      </w:r>
      <w:r>
        <w:rPr>
          <w:rFonts w:ascii="PT Sans" w:hAnsi="PT Sans"/>
          <w:color w:val="212529"/>
        </w:rPr>
        <w:br/>
        <w:t>- спорта;</w:t>
      </w:r>
      <w:r>
        <w:rPr>
          <w:rFonts w:ascii="PT Sans" w:hAnsi="PT Sans"/>
          <w:color w:val="212529"/>
        </w:rPr>
        <w:br/>
        <w:t>- развития городской среды;</w:t>
      </w:r>
      <w:r>
        <w:rPr>
          <w:rFonts w:ascii="PT Sans" w:hAnsi="PT Sans"/>
          <w:color w:val="212529"/>
        </w:rPr>
        <w:br/>
        <w:t>- сельского хозяйства;</w:t>
      </w:r>
      <w:r>
        <w:rPr>
          <w:rFonts w:ascii="PT Sans" w:hAnsi="PT Sans"/>
          <w:color w:val="212529"/>
        </w:rPr>
        <w:br/>
        <w:t>- туризма;</w:t>
      </w:r>
      <w:r>
        <w:rPr>
          <w:rFonts w:ascii="PT Sans" w:hAnsi="PT Sans"/>
          <w:color w:val="212529"/>
        </w:rPr>
        <w:br/>
        <w:t>- торговли и общественного питания;</w:t>
      </w:r>
      <w:r>
        <w:rPr>
          <w:rFonts w:ascii="PT Sans" w:hAnsi="PT Sans"/>
          <w:color w:val="212529"/>
        </w:rPr>
        <w:br/>
        <w:t>- образования;</w:t>
      </w:r>
      <w:r>
        <w:rPr>
          <w:rFonts w:ascii="PT Sans" w:hAnsi="PT Sans"/>
          <w:color w:val="212529"/>
        </w:rPr>
        <w:br/>
        <w:t>- строительства, ремонта;</w:t>
      </w:r>
      <w:r>
        <w:rPr>
          <w:rFonts w:ascii="PT Sans" w:hAnsi="PT Sans"/>
          <w:color w:val="212529"/>
        </w:rPr>
        <w:br/>
        <w:t>- консалтинга и предоставления услуг;</w:t>
      </w:r>
      <w:r>
        <w:rPr>
          <w:rFonts w:ascii="PT Sans" w:hAnsi="PT Sans"/>
          <w:color w:val="212529"/>
        </w:rPr>
        <w:br/>
        <w:t>- IT-сферы.</w:t>
      </w:r>
      <w:r>
        <w:rPr>
          <w:rFonts w:ascii="PT Sans" w:hAnsi="PT Sans"/>
          <w:color w:val="212529"/>
        </w:rPr>
        <w:br/>
        <w:t>Не допускается направление гранта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микрофинансовыми организациями, а также по кредитам, привлеченным в кредитных организациях.</w:t>
      </w:r>
      <w:r>
        <w:rPr>
          <w:rFonts w:ascii="PT Sans" w:hAnsi="PT Sans"/>
          <w:color w:val="212529"/>
        </w:rPr>
        <w:br/>
        <w:t>Прием заявлений на участие в Конкурсе осуществляется в сроки, указанные в информационном сообщении о проведении Конкурса, размещенном на официальном сайте организатора Конкурса. Срок приема заявлений составляет 5 рабочих дней со дня размещения информационного сообщения о проведении Конкурса на официальном сайте организатора Конкурса.</w:t>
      </w:r>
      <w:r>
        <w:rPr>
          <w:rFonts w:ascii="PT Sans" w:hAnsi="PT Sans"/>
          <w:color w:val="212529"/>
        </w:rPr>
        <w:br/>
        <w:t>Информация для участия на сайте</w:t>
      </w:r>
      <w:r w:rsidR="006B09CC">
        <w:rPr>
          <w:rFonts w:ascii="PT Sans" w:hAnsi="PT Sans"/>
          <w:color w:val="212529"/>
        </w:rPr>
        <w:t xml:space="preserve"> «Новые возможности»</w:t>
      </w:r>
    </w:p>
    <w:p w14:paraId="4A96E0E2" w14:textId="77777777" w:rsidR="00F50BC3" w:rsidRPr="00F50BC3" w:rsidRDefault="00F50BC3" w:rsidP="00F50BC3">
      <w:pPr>
        <w:spacing w:after="0"/>
        <w:ind w:firstLine="709"/>
        <w:jc w:val="center"/>
        <w:rPr>
          <w:sz w:val="44"/>
          <w:szCs w:val="36"/>
        </w:rPr>
      </w:pPr>
    </w:p>
    <w:sectPr w:rsidR="00F50BC3" w:rsidRPr="00F50BC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F7"/>
    <w:rsid w:val="00574991"/>
    <w:rsid w:val="006B09CC"/>
    <w:rsid w:val="006C0B77"/>
    <w:rsid w:val="00767DF7"/>
    <w:rsid w:val="008242FF"/>
    <w:rsid w:val="00870751"/>
    <w:rsid w:val="00922C48"/>
    <w:rsid w:val="00B915B7"/>
    <w:rsid w:val="00EA59DF"/>
    <w:rsid w:val="00EE4070"/>
    <w:rsid w:val="00F12C76"/>
    <w:rsid w:val="00F5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8B99"/>
  <w15:chartTrackingRefBased/>
  <w15:docId w15:val="{7CB72966-3A34-4DB8-9667-E20FA292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BC3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F50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Kvetko</dc:creator>
  <cp:keywords/>
  <dc:description/>
  <cp:lastModifiedBy>Sergey Kvetko</cp:lastModifiedBy>
  <cp:revision>3</cp:revision>
  <dcterms:created xsi:type="dcterms:W3CDTF">2023-10-16T12:32:00Z</dcterms:created>
  <dcterms:modified xsi:type="dcterms:W3CDTF">2023-10-16T13:08:00Z</dcterms:modified>
</cp:coreProperties>
</file>